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E7B96" w14:textId="09E59A10" w:rsidR="00F05E31" w:rsidRDefault="00F05E31">
      <w:pPr>
        <w:pStyle w:val="TOCHeading"/>
        <w:rPr>
          <w:rFonts w:ascii="Arial" w:eastAsiaTheme="minorHAnsi" w:hAnsi="Arial" w:cs="Times New Roman"/>
          <w:color w:val="auto"/>
          <w:sz w:val="24"/>
          <w:szCs w:val="22"/>
        </w:rPr>
      </w:pPr>
      <w:bookmarkStart w:id="0" w:name="_GoBack"/>
      <w:bookmarkEnd w:id="0"/>
    </w:p>
    <w:sdt>
      <w:sdtPr>
        <w:rPr>
          <w:rFonts w:ascii="Arial" w:eastAsiaTheme="minorHAnsi" w:hAnsi="Arial" w:cs="Times New Roman"/>
          <w:color w:val="auto"/>
          <w:sz w:val="24"/>
          <w:szCs w:val="22"/>
        </w:rPr>
        <w:id w:val="-235859189"/>
        <w:docPartObj>
          <w:docPartGallery w:val="Table of Contents"/>
          <w:docPartUnique/>
        </w:docPartObj>
      </w:sdtPr>
      <w:sdtEndPr>
        <w:rPr>
          <w:b/>
          <w:bCs/>
          <w:noProof/>
        </w:rPr>
      </w:sdtEndPr>
      <w:sdtContent>
        <w:p w14:paraId="5D945C46" w14:textId="3BC8298B" w:rsidR="0040685F" w:rsidRPr="005D4197" w:rsidRDefault="0040685F">
          <w:pPr>
            <w:pStyle w:val="TOCHeading"/>
            <w:rPr>
              <w:rFonts w:ascii="Arial" w:hAnsi="Arial" w:cs="Arial"/>
              <w:b/>
              <w:bCs/>
            </w:rPr>
          </w:pPr>
          <w:r w:rsidRPr="005D4197">
            <w:rPr>
              <w:rFonts w:ascii="Arial" w:hAnsi="Arial" w:cs="Arial"/>
              <w:b/>
              <w:bCs/>
            </w:rPr>
            <w:t>Contents</w:t>
          </w:r>
        </w:p>
        <w:p w14:paraId="04306108" w14:textId="77777777" w:rsidR="002B05A6" w:rsidRPr="002B05A6" w:rsidRDefault="002B05A6" w:rsidP="002B05A6"/>
        <w:p w14:paraId="559BBD55" w14:textId="35EBE179" w:rsidR="00D73B0C" w:rsidRDefault="0040685F">
          <w:pPr>
            <w:pStyle w:val="TOC1"/>
            <w:tabs>
              <w:tab w:val="right" w:leader="dot" w:pos="9350"/>
            </w:tabs>
            <w:rPr>
              <w:rFonts w:asciiTheme="minorHAnsi" w:eastAsiaTheme="minorEastAsia" w:hAnsiTheme="minorHAnsi" w:cstheme="minorBidi"/>
              <w:noProof/>
              <w:sz w:val="22"/>
              <w:lang w:val="en-CA" w:eastAsia="en-CA"/>
            </w:rPr>
          </w:pPr>
          <w:r>
            <w:fldChar w:fldCharType="begin"/>
          </w:r>
          <w:r>
            <w:instrText xml:space="preserve"> TOC \o "1-3" \h \z \u </w:instrText>
          </w:r>
          <w:r>
            <w:fldChar w:fldCharType="separate"/>
          </w:r>
          <w:hyperlink w:anchor="_Toc74812115" w:history="1">
            <w:r w:rsidR="00D73B0C" w:rsidRPr="006A6473">
              <w:rPr>
                <w:rStyle w:val="Hyperlink"/>
                <w:noProof/>
              </w:rPr>
              <w:t>It is hard to write off an oral contract</w:t>
            </w:r>
            <w:r w:rsidR="00D73B0C">
              <w:rPr>
                <w:noProof/>
                <w:webHidden/>
              </w:rPr>
              <w:tab/>
            </w:r>
            <w:r w:rsidR="00D73B0C">
              <w:rPr>
                <w:noProof/>
                <w:webHidden/>
              </w:rPr>
              <w:fldChar w:fldCharType="begin"/>
            </w:r>
            <w:r w:rsidR="00D73B0C">
              <w:rPr>
                <w:noProof/>
                <w:webHidden/>
              </w:rPr>
              <w:instrText xml:space="preserve"> PAGEREF _Toc74812115 \h </w:instrText>
            </w:r>
            <w:r w:rsidR="00D73B0C">
              <w:rPr>
                <w:noProof/>
                <w:webHidden/>
              </w:rPr>
            </w:r>
            <w:r w:rsidR="00D73B0C">
              <w:rPr>
                <w:noProof/>
                <w:webHidden/>
              </w:rPr>
              <w:fldChar w:fldCharType="separate"/>
            </w:r>
            <w:r w:rsidR="00D73B0C">
              <w:rPr>
                <w:noProof/>
                <w:webHidden/>
              </w:rPr>
              <w:t>2</w:t>
            </w:r>
            <w:r w:rsidR="00D73B0C">
              <w:rPr>
                <w:noProof/>
                <w:webHidden/>
              </w:rPr>
              <w:fldChar w:fldCharType="end"/>
            </w:r>
          </w:hyperlink>
        </w:p>
        <w:p w14:paraId="52BB5A64" w14:textId="11CDEE81" w:rsidR="00D73B0C" w:rsidRDefault="00BF04C8">
          <w:pPr>
            <w:pStyle w:val="TOC2"/>
            <w:tabs>
              <w:tab w:val="right" w:leader="dot" w:pos="9350"/>
            </w:tabs>
            <w:rPr>
              <w:rFonts w:asciiTheme="minorHAnsi" w:eastAsiaTheme="minorEastAsia" w:hAnsiTheme="minorHAnsi" w:cstheme="minorBidi"/>
              <w:noProof/>
              <w:sz w:val="22"/>
              <w:lang w:val="en-CA" w:eastAsia="en-CA"/>
            </w:rPr>
          </w:pPr>
          <w:hyperlink w:anchor="_Toc74812116" w:history="1">
            <w:r w:rsidR="00D73B0C" w:rsidRPr="006A6473">
              <w:rPr>
                <w:rStyle w:val="Hyperlink"/>
                <w:noProof/>
              </w:rPr>
              <w:t>Enforceability of oral contracts</w:t>
            </w:r>
            <w:r w:rsidR="00D73B0C">
              <w:rPr>
                <w:noProof/>
                <w:webHidden/>
              </w:rPr>
              <w:tab/>
            </w:r>
            <w:r w:rsidR="00D73B0C">
              <w:rPr>
                <w:noProof/>
                <w:webHidden/>
              </w:rPr>
              <w:fldChar w:fldCharType="begin"/>
            </w:r>
            <w:r w:rsidR="00D73B0C">
              <w:rPr>
                <w:noProof/>
                <w:webHidden/>
              </w:rPr>
              <w:instrText xml:space="preserve"> PAGEREF _Toc74812116 \h </w:instrText>
            </w:r>
            <w:r w:rsidR="00D73B0C">
              <w:rPr>
                <w:noProof/>
                <w:webHidden/>
              </w:rPr>
            </w:r>
            <w:r w:rsidR="00D73B0C">
              <w:rPr>
                <w:noProof/>
                <w:webHidden/>
              </w:rPr>
              <w:fldChar w:fldCharType="separate"/>
            </w:r>
            <w:r w:rsidR="00D73B0C">
              <w:rPr>
                <w:noProof/>
                <w:webHidden/>
              </w:rPr>
              <w:t>2</w:t>
            </w:r>
            <w:r w:rsidR="00D73B0C">
              <w:rPr>
                <w:noProof/>
                <w:webHidden/>
              </w:rPr>
              <w:fldChar w:fldCharType="end"/>
            </w:r>
          </w:hyperlink>
        </w:p>
        <w:p w14:paraId="78879979" w14:textId="5A025D88" w:rsidR="00D73B0C" w:rsidRDefault="00BF04C8">
          <w:pPr>
            <w:pStyle w:val="TOC2"/>
            <w:tabs>
              <w:tab w:val="right" w:leader="dot" w:pos="9350"/>
            </w:tabs>
            <w:rPr>
              <w:rFonts w:asciiTheme="minorHAnsi" w:eastAsiaTheme="minorEastAsia" w:hAnsiTheme="minorHAnsi" w:cstheme="minorBidi"/>
              <w:noProof/>
              <w:sz w:val="22"/>
              <w:lang w:val="en-CA" w:eastAsia="en-CA"/>
            </w:rPr>
          </w:pPr>
          <w:hyperlink w:anchor="_Toc74812117" w:history="1">
            <w:r w:rsidR="00D73B0C" w:rsidRPr="006A6473">
              <w:rPr>
                <w:rStyle w:val="Hyperlink"/>
                <w:noProof/>
              </w:rPr>
              <w:t>An oral agreement can even survive a targeted exclusion clause</w:t>
            </w:r>
            <w:r w:rsidR="00D73B0C">
              <w:rPr>
                <w:noProof/>
                <w:webHidden/>
              </w:rPr>
              <w:tab/>
            </w:r>
            <w:r w:rsidR="00D73B0C">
              <w:rPr>
                <w:noProof/>
                <w:webHidden/>
              </w:rPr>
              <w:fldChar w:fldCharType="begin"/>
            </w:r>
            <w:r w:rsidR="00D73B0C">
              <w:rPr>
                <w:noProof/>
                <w:webHidden/>
              </w:rPr>
              <w:instrText xml:space="preserve"> PAGEREF _Toc74812117 \h </w:instrText>
            </w:r>
            <w:r w:rsidR="00D73B0C">
              <w:rPr>
                <w:noProof/>
                <w:webHidden/>
              </w:rPr>
            </w:r>
            <w:r w:rsidR="00D73B0C">
              <w:rPr>
                <w:noProof/>
                <w:webHidden/>
              </w:rPr>
              <w:fldChar w:fldCharType="separate"/>
            </w:r>
            <w:r w:rsidR="00D73B0C">
              <w:rPr>
                <w:noProof/>
                <w:webHidden/>
              </w:rPr>
              <w:t>5</w:t>
            </w:r>
            <w:r w:rsidR="00D73B0C">
              <w:rPr>
                <w:noProof/>
                <w:webHidden/>
              </w:rPr>
              <w:fldChar w:fldCharType="end"/>
            </w:r>
          </w:hyperlink>
        </w:p>
        <w:p w14:paraId="0517AD6C" w14:textId="753AB134" w:rsidR="00D73B0C" w:rsidRDefault="00BF04C8">
          <w:pPr>
            <w:pStyle w:val="TOC2"/>
            <w:tabs>
              <w:tab w:val="right" w:leader="dot" w:pos="9350"/>
            </w:tabs>
            <w:rPr>
              <w:rFonts w:asciiTheme="minorHAnsi" w:eastAsiaTheme="minorEastAsia" w:hAnsiTheme="minorHAnsi" w:cstheme="minorBidi"/>
              <w:noProof/>
              <w:sz w:val="22"/>
              <w:lang w:val="en-CA" w:eastAsia="en-CA"/>
            </w:rPr>
          </w:pPr>
          <w:hyperlink w:anchor="_Toc74812118" w:history="1">
            <w:r w:rsidR="00D73B0C" w:rsidRPr="006A6473">
              <w:rPr>
                <w:rStyle w:val="Hyperlink"/>
                <w:noProof/>
              </w:rPr>
              <w:t>An exclusion clause will not bar a later oral agreement</w:t>
            </w:r>
            <w:r w:rsidR="00D73B0C">
              <w:rPr>
                <w:noProof/>
                <w:webHidden/>
              </w:rPr>
              <w:tab/>
            </w:r>
            <w:r w:rsidR="00D73B0C">
              <w:rPr>
                <w:noProof/>
                <w:webHidden/>
              </w:rPr>
              <w:fldChar w:fldCharType="begin"/>
            </w:r>
            <w:r w:rsidR="00D73B0C">
              <w:rPr>
                <w:noProof/>
                <w:webHidden/>
              </w:rPr>
              <w:instrText xml:space="preserve"> PAGEREF _Toc74812118 \h </w:instrText>
            </w:r>
            <w:r w:rsidR="00D73B0C">
              <w:rPr>
                <w:noProof/>
                <w:webHidden/>
              </w:rPr>
            </w:r>
            <w:r w:rsidR="00D73B0C">
              <w:rPr>
                <w:noProof/>
                <w:webHidden/>
              </w:rPr>
              <w:fldChar w:fldCharType="separate"/>
            </w:r>
            <w:r w:rsidR="00D73B0C">
              <w:rPr>
                <w:noProof/>
                <w:webHidden/>
              </w:rPr>
              <w:t>7</w:t>
            </w:r>
            <w:r w:rsidR="00D73B0C">
              <w:rPr>
                <w:noProof/>
                <w:webHidden/>
              </w:rPr>
              <w:fldChar w:fldCharType="end"/>
            </w:r>
          </w:hyperlink>
        </w:p>
        <w:p w14:paraId="7864C273" w14:textId="0549D557" w:rsidR="00D73B0C" w:rsidRDefault="00BF04C8">
          <w:pPr>
            <w:pStyle w:val="TOC2"/>
            <w:tabs>
              <w:tab w:val="right" w:leader="dot" w:pos="9350"/>
            </w:tabs>
            <w:rPr>
              <w:rFonts w:asciiTheme="minorHAnsi" w:eastAsiaTheme="minorEastAsia" w:hAnsiTheme="minorHAnsi" w:cstheme="minorBidi"/>
              <w:noProof/>
              <w:sz w:val="22"/>
              <w:lang w:val="en-CA" w:eastAsia="en-CA"/>
            </w:rPr>
          </w:pPr>
          <w:hyperlink w:anchor="_Toc74812119" w:history="1">
            <w:r w:rsidR="00D73B0C" w:rsidRPr="006A6473">
              <w:rPr>
                <w:rStyle w:val="Hyperlink"/>
                <w:noProof/>
              </w:rPr>
              <w:t>Oral contracts and the parol evidence rule</w:t>
            </w:r>
            <w:r w:rsidR="00D73B0C">
              <w:rPr>
                <w:noProof/>
                <w:webHidden/>
              </w:rPr>
              <w:tab/>
            </w:r>
            <w:r w:rsidR="00D73B0C">
              <w:rPr>
                <w:noProof/>
                <w:webHidden/>
              </w:rPr>
              <w:fldChar w:fldCharType="begin"/>
            </w:r>
            <w:r w:rsidR="00D73B0C">
              <w:rPr>
                <w:noProof/>
                <w:webHidden/>
              </w:rPr>
              <w:instrText xml:space="preserve"> PAGEREF _Toc74812119 \h </w:instrText>
            </w:r>
            <w:r w:rsidR="00D73B0C">
              <w:rPr>
                <w:noProof/>
                <w:webHidden/>
              </w:rPr>
            </w:r>
            <w:r w:rsidR="00D73B0C">
              <w:rPr>
                <w:noProof/>
                <w:webHidden/>
              </w:rPr>
              <w:fldChar w:fldCharType="separate"/>
            </w:r>
            <w:r w:rsidR="00D73B0C">
              <w:rPr>
                <w:noProof/>
                <w:webHidden/>
              </w:rPr>
              <w:t>9</w:t>
            </w:r>
            <w:r w:rsidR="00D73B0C">
              <w:rPr>
                <w:noProof/>
                <w:webHidden/>
              </w:rPr>
              <w:fldChar w:fldCharType="end"/>
            </w:r>
          </w:hyperlink>
        </w:p>
        <w:p w14:paraId="4C84BB26" w14:textId="2112DFAB" w:rsidR="00D73B0C" w:rsidRDefault="00BF04C8">
          <w:pPr>
            <w:pStyle w:val="TOC2"/>
            <w:tabs>
              <w:tab w:val="right" w:leader="dot" w:pos="9350"/>
            </w:tabs>
            <w:rPr>
              <w:rFonts w:asciiTheme="minorHAnsi" w:eastAsiaTheme="minorEastAsia" w:hAnsiTheme="minorHAnsi" w:cstheme="minorBidi"/>
              <w:noProof/>
              <w:sz w:val="22"/>
              <w:lang w:val="en-CA" w:eastAsia="en-CA"/>
            </w:rPr>
          </w:pPr>
          <w:hyperlink w:anchor="_Toc74812120" w:history="1">
            <w:r w:rsidR="00D73B0C" w:rsidRPr="006A6473">
              <w:rPr>
                <w:rStyle w:val="Hyperlink"/>
                <w:noProof/>
                <w:shd w:val="clear" w:color="auto" w:fill="FFFFFF"/>
              </w:rPr>
              <w:t>The paradox of prohibitions on oral amendments</w:t>
            </w:r>
            <w:r w:rsidR="00D73B0C">
              <w:rPr>
                <w:noProof/>
                <w:webHidden/>
              </w:rPr>
              <w:tab/>
            </w:r>
            <w:r w:rsidR="00D73B0C">
              <w:rPr>
                <w:noProof/>
                <w:webHidden/>
              </w:rPr>
              <w:fldChar w:fldCharType="begin"/>
            </w:r>
            <w:r w:rsidR="00D73B0C">
              <w:rPr>
                <w:noProof/>
                <w:webHidden/>
              </w:rPr>
              <w:instrText xml:space="preserve"> PAGEREF _Toc74812120 \h </w:instrText>
            </w:r>
            <w:r w:rsidR="00D73B0C">
              <w:rPr>
                <w:noProof/>
                <w:webHidden/>
              </w:rPr>
            </w:r>
            <w:r w:rsidR="00D73B0C">
              <w:rPr>
                <w:noProof/>
                <w:webHidden/>
              </w:rPr>
              <w:fldChar w:fldCharType="separate"/>
            </w:r>
            <w:r w:rsidR="00D73B0C">
              <w:rPr>
                <w:noProof/>
                <w:webHidden/>
              </w:rPr>
              <w:t>12</w:t>
            </w:r>
            <w:r w:rsidR="00D73B0C">
              <w:rPr>
                <w:noProof/>
                <w:webHidden/>
              </w:rPr>
              <w:fldChar w:fldCharType="end"/>
            </w:r>
          </w:hyperlink>
        </w:p>
        <w:p w14:paraId="1B0C86EF" w14:textId="1FEF3563" w:rsidR="00D73B0C" w:rsidRDefault="00BF04C8">
          <w:pPr>
            <w:pStyle w:val="TOC2"/>
            <w:tabs>
              <w:tab w:val="right" w:leader="dot" w:pos="9350"/>
            </w:tabs>
            <w:rPr>
              <w:rFonts w:asciiTheme="minorHAnsi" w:eastAsiaTheme="minorEastAsia" w:hAnsiTheme="minorHAnsi" w:cstheme="minorBidi"/>
              <w:noProof/>
              <w:sz w:val="22"/>
              <w:lang w:val="en-CA" w:eastAsia="en-CA"/>
            </w:rPr>
          </w:pPr>
          <w:hyperlink w:anchor="_Toc74812121" w:history="1">
            <w:r w:rsidR="00D73B0C" w:rsidRPr="006A6473">
              <w:rPr>
                <w:rStyle w:val="Hyperlink"/>
                <w:noProof/>
              </w:rPr>
              <w:t xml:space="preserve">Oral agreements and the </w:t>
            </w:r>
            <w:r w:rsidR="00D73B0C" w:rsidRPr="006A6473">
              <w:rPr>
                <w:rStyle w:val="Hyperlink"/>
                <w:i/>
                <w:noProof/>
              </w:rPr>
              <w:t>Statute of Frauds</w:t>
            </w:r>
            <w:r w:rsidR="00D73B0C">
              <w:rPr>
                <w:noProof/>
                <w:webHidden/>
              </w:rPr>
              <w:tab/>
            </w:r>
            <w:r w:rsidR="00D73B0C">
              <w:rPr>
                <w:noProof/>
                <w:webHidden/>
              </w:rPr>
              <w:fldChar w:fldCharType="begin"/>
            </w:r>
            <w:r w:rsidR="00D73B0C">
              <w:rPr>
                <w:noProof/>
                <w:webHidden/>
              </w:rPr>
              <w:instrText xml:space="preserve"> PAGEREF _Toc74812121 \h </w:instrText>
            </w:r>
            <w:r w:rsidR="00D73B0C">
              <w:rPr>
                <w:noProof/>
                <w:webHidden/>
              </w:rPr>
            </w:r>
            <w:r w:rsidR="00D73B0C">
              <w:rPr>
                <w:noProof/>
                <w:webHidden/>
              </w:rPr>
              <w:fldChar w:fldCharType="separate"/>
            </w:r>
            <w:r w:rsidR="00D73B0C">
              <w:rPr>
                <w:noProof/>
                <w:webHidden/>
              </w:rPr>
              <w:t>17</w:t>
            </w:r>
            <w:r w:rsidR="00D73B0C">
              <w:rPr>
                <w:noProof/>
                <w:webHidden/>
              </w:rPr>
              <w:fldChar w:fldCharType="end"/>
            </w:r>
          </w:hyperlink>
        </w:p>
        <w:p w14:paraId="4AA14867" w14:textId="5C847D9E" w:rsidR="00D73B0C" w:rsidRDefault="00BF04C8">
          <w:pPr>
            <w:pStyle w:val="TOC2"/>
            <w:tabs>
              <w:tab w:val="right" w:leader="dot" w:pos="9350"/>
            </w:tabs>
            <w:rPr>
              <w:rFonts w:asciiTheme="minorHAnsi" w:eastAsiaTheme="minorEastAsia" w:hAnsiTheme="minorHAnsi" w:cstheme="minorBidi"/>
              <w:noProof/>
              <w:sz w:val="22"/>
              <w:lang w:val="en-CA" w:eastAsia="en-CA"/>
            </w:rPr>
          </w:pPr>
          <w:hyperlink w:anchor="_Toc74812122" w:history="1">
            <w:r w:rsidR="00D73B0C" w:rsidRPr="006A6473">
              <w:rPr>
                <w:rStyle w:val="Hyperlink"/>
                <w:noProof/>
              </w:rPr>
              <w:t>Conclusion</w:t>
            </w:r>
            <w:r w:rsidR="00D73B0C">
              <w:rPr>
                <w:noProof/>
                <w:webHidden/>
              </w:rPr>
              <w:tab/>
            </w:r>
            <w:r w:rsidR="00D73B0C">
              <w:rPr>
                <w:noProof/>
                <w:webHidden/>
              </w:rPr>
              <w:fldChar w:fldCharType="begin"/>
            </w:r>
            <w:r w:rsidR="00D73B0C">
              <w:rPr>
                <w:noProof/>
                <w:webHidden/>
              </w:rPr>
              <w:instrText xml:space="preserve"> PAGEREF _Toc74812122 \h </w:instrText>
            </w:r>
            <w:r w:rsidR="00D73B0C">
              <w:rPr>
                <w:noProof/>
                <w:webHidden/>
              </w:rPr>
            </w:r>
            <w:r w:rsidR="00D73B0C">
              <w:rPr>
                <w:noProof/>
                <w:webHidden/>
              </w:rPr>
              <w:fldChar w:fldCharType="separate"/>
            </w:r>
            <w:r w:rsidR="00D73B0C">
              <w:rPr>
                <w:noProof/>
                <w:webHidden/>
              </w:rPr>
              <w:t>20</w:t>
            </w:r>
            <w:r w:rsidR="00D73B0C">
              <w:rPr>
                <w:noProof/>
                <w:webHidden/>
              </w:rPr>
              <w:fldChar w:fldCharType="end"/>
            </w:r>
          </w:hyperlink>
        </w:p>
        <w:p w14:paraId="1FA4E2D1" w14:textId="6CE62EBB" w:rsidR="0040685F" w:rsidRDefault="0040685F">
          <w:r>
            <w:rPr>
              <w:b/>
              <w:bCs/>
              <w:noProof/>
            </w:rPr>
            <w:fldChar w:fldCharType="end"/>
          </w:r>
        </w:p>
      </w:sdtContent>
    </w:sdt>
    <w:p w14:paraId="2883DAF9" w14:textId="5CB773F1" w:rsidR="002571A9" w:rsidRDefault="002571A9">
      <w:pPr>
        <w:spacing w:after="200" w:line="276" w:lineRule="auto"/>
        <w:rPr>
          <w:rFonts w:eastAsiaTheme="majorEastAsia" w:cstheme="majorBidi"/>
          <w:b/>
          <w:sz w:val="28"/>
          <w:szCs w:val="32"/>
        </w:rPr>
      </w:pPr>
      <w:r>
        <w:br w:type="page"/>
      </w:r>
    </w:p>
    <w:p w14:paraId="18DD7A46" w14:textId="70072FE1" w:rsidR="00DD2566" w:rsidRDefault="00D73B0C" w:rsidP="00F17508">
      <w:pPr>
        <w:pStyle w:val="Heading1"/>
      </w:pPr>
      <w:bookmarkStart w:id="1" w:name="_Toc74812115"/>
      <w:r>
        <w:lastRenderedPageBreak/>
        <w:t xml:space="preserve">It is hard to write </w:t>
      </w:r>
      <w:r w:rsidR="0068620A">
        <w:t>off</w:t>
      </w:r>
      <w:r>
        <w:t xml:space="preserve"> an oral contract</w:t>
      </w:r>
      <w:bookmarkEnd w:id="1"/>
      <w:r>
        <w:t xml:space="preserve"> </w:t>
      </w:r>
      <w:r w:rsidR="0068620A">
        <w:t xml:space="preserve"> </w:t>
      </w:r>
    </w:p>
    <w:p w14:paraId="03A88708" w14:textId="31BBB4A1" w:rsidR="00F17508" w:rsidRPr="00F17508" w:rsidRDefault="00F17508" w:rsidP="002571A9">
      <w:r>
        <w:t>By Paul Fruitman</w:t>
      </w:r>
      <w:r w:rsidR="008C770A">
        <w:rPr>
          <w:rStyle w:val="FootnoteReference"/>
        </w:rPr>
        <w:footnoteReference w:id="2"/>
      </w:r>
    </w:p>
    <w:p w14:paraId="7350E8D6" w14:textId="12303F42" w:rsidR="005B387E" w:rsidRDefault="009C287D" w:rsidP="002571A9">
      <w:r>
        <w:t xml:space="preserve">Get it in writing. </w:t>
      </w:r>
      <w:r w:rsidR="0068620A">
        <w:t>That is the approach</w:t>
      </w:r>
      <w:r w:rsidR="007E1BBD">
        <w:t xml:space="preserve"> </w:t>
      </w:r>
      <w:r w:rsidR="008C720F">
        <w:t xml:space="preserve">anytime </w:t>
      </w:r>
      <w:r w:rsidR="00436083">
        <w:t>parties reach a</w:t>
      </w:r>
      <w:r w:rsidR="008C720F">
        <w:t xml:space="preserve"> verbal</w:t>
      </w:r>
      <w:r w:rsidR="00F17508">
        <w:t xml:space="preserve"> agreement</w:t>
      </w:r>
      <w:r w:rsidR="0068620A">
        <w:t>.</w:t>
      </w:r>
      <w:r w:rsidR="00F17508">
        <w:t xml:space="preserve"> </w:t>
      </w:r>
      <w:r w:rsidR="0068620A">
        <w:t xml:space="preserve">The prevailing view is that </w:t>
      </w:r>
      <w:r w:rsidR="00436083">
        <w:t>agreements in</w:t>
      </w:r>
      <w:r w:rsidR="008C720F">
        <w:t xml:space="preserve"> ink—or more recently, el</w:t>
      </w:r>
      <w:r w:rsidR="00F17508">
        <w:t>ectronic signature—</w:t>
      </w:r>
      <w:r w:rsidR="00436083">
        <w:t>are</w:t>
      </w:r>
      <w:r w:rsidR="00F77C03">
        <w:t xml:space="preserve"> inviolable guarantee</w:t>
      </w:r>
      <w:r w:rsidR="00436083">
        <w:t>s</w:t>
      </w:r>
      <w:r w:rsidR="00F77C03">
        <w:t xml:space="preserve">. </w:t>
      </w:r>
    </w:p>
    <w:p w14:paraId="02015D05" w14:textId="7CC5D867" w:rsidR="00D43FE9" w:rsidRDefault="00F77C03" w:rsidP="002571A9">
      <w:r>
        <w:t>Formalization in writing</w:t>
      </w:r>
      <w:r w:rsidR="00F17508">
        <w:t xml:space="preserve"> </w:t>
      </w:r>
      <w:r w:rsidR="009D7854">
        <w:t>is a prudent step</w:t>
      </w:r>
      <w:r w:rsidR="003B5098">
        <w:t>, b</w:t>
      </w:r>
      <w:r w:rsidR="005B387E">
        <w:t>ut</w:t>
      </w:r>
      <w:r w:rsidR="00D60CD3">
        <w:t xml:space="preserve"> it is neither essential nor foolproof. An oral agreement is </w:t>
      </w:r>
      <w:r w:rsidR="00306108">
        <w:t xml:space="preserve">binding, subject to proof and rules of admissibility that are </w:t>
      </w:r>
      <w:r w:rsidR="007A7F75">
        <w:t xml:space="preserve">often </w:t>
      </w:r>
      <w:proofErr w:type="spellStart"/>
      <w:r w:rsidR="007A7F75">
        <w:t>honoured</w:t>
      </w:r>
      <w:proofErr w:type="spellEnd"/>
      <w:r w:rsidR="007A7F75">
        <w:t xml:space="preserve"> in the breach</w:t>
      </w:r>
      <w:r w:rsidR="00306108">
        <w:t>. At the same time, a contract, no matter ho</w:t>
      </w:r>
      <w:r w:rsidR="005B387E">
        <w:t xml:space="preserve">w formal, </w:t>
      </w:r>
      <w:r w:rsidR="007A7F75">
        <w:t xml:space="preserve">is </w:t>
      </w:r>
      <w:r w:rsidR="00306108">
        <w:t xml:space="preserve">never </w:t>
      </w:r>
      <w:r w:rsidR="00436083">
        <w:t>bulletproof.</w:t>
      </w:r>
      <w:r w:rsidR="00F17508">
        <w:t xml:space="preserve"> </w:t>
      </w:r>
    </w:p>
    <w:p w14:paraId="5777A6B9" w14:textId="3A8A1985" w:rsidR="00B93F29" w:rsidRDefault="00D43FE9" w:rsidP="002571A9">
      <w:r>
        <w:t>Recent case</w:t>
      </w:r>
      <w:r w:rsidR="00436083">
        <w:t xml:space="preserve"> </w:t>
      </w:r>
      <w:r>
        <w:t>law</w:t>
      </w:r>
      <w:r w:rsidR="009E1EB3">
        <w:t xml:space="preserve"> shows</w:t>
      </w:r>
      <w:r>
        <w:t xml:space="preserve"> </w:t>
      </w:r>
      <w:r w:rsidR="00B93F29">
        <w:t xml:space="preserve">that Canadian courts continue to focus on the intentions of contracting parties when asked to enforce oral and informal agreements. Courts will </w:t>
      </w:r>
      <w:proofErr w:type="spellStart"/>
      <w:r w:rsidR="00B93F29">
        <w:t>honour</w:t>
      </w:r>
      <w:proofErr w:type="spellEnd"/>
      <w:r w:rsidR="00B93F29">
        <w:t xml:space="preserve"> those intentions even at the expense of express exclusion clauses and the traditional “rules” of contract law. Though some might argue that this approach sacrifices </w:t>
      </w:r>
      <w:r w:rsidR="00B624BF">
        <w:t>predictability</w:t>
      </w:r>
      <w:r w:rsidR="00B93F29">
        <w:t xml:space="preserve"> </w:t>
      </w:r>
      <w:r w:rsidR="009320C3">
        <w:t xml:space="preserve">for “fairness”, it is in fact </w:t>
      </w:r>
      <w:r w:rsidR="00B624BF">
        <w:t xml:space="preserve">in </w:t>
      </w:r>
      <w:r w:rsidR="00F239B3">
        <w:t xml:space="preserve">line </w:t>
      </w:r>
      <w:r w:rsidR="009320C3">
        <w:t xml:space="preserve">with the cardinal rule of contractual interpretation: to </w:t>
      </w:r>
      <w:r w:rsidR="009320C3" w:rsidRPr="009320C3">
        <w:t xml:space="preserve">ascertain the objective intentions of </w:t>
      </w:r>
      <w:r w:rsidR="009320C3">
        <w:t>contracting</w:t>
      </w:r>
      <w:r w:rsidR="009320C3" w:rsidRPr="009320C3">
        <w:t xml:space="preserve"> parties</w:t>
      </w:r>
      <w:r w:rsidR="00645EC1">
        <w:t>.</w:t>
      </w:r>
      <w:r w:rsidR="00645EC1">
        <w:rPr>
          <w:rStyle w:val="FootnoteReference"/>
        </w:rPr>
        <w:footnoteReference w:id="3"/>
      </w:r>
    </w:p>
    <w:p w14:paraId="6720CB66" w14:textId="77777777" w:rsidR="00F77C03" w:rsidRDefault="00DD3836" w:rsidP="003B35C0">
      <w:pPr>
        <w:pStyle w:val="Heading2"/>
      </w:pPr>
      <w:bookmarkStart w:id="2" w:name="_Toc74812116"/>
      <w:bookmarkStart w:id="3" w:name="_Toc56772041"/>
      <w:bookmarkStart w:id="4" w:name="_Toc56772142"/>
      <w:bookmarkStart w:id="5" w:name="_Toc56772243"/>
      <w:bookmarkStart w:id="6" w:name="_Toc56776275"/>
      <w:r>
        <w:lastRenderedPageBreak/>
        <w:t>Enforceability of oral contracts</w:t>
      </w:r>
      <w:bookmarkEnd w:id="2"/>
      <w:r>
        <w:t xml:space="preserve"> </w:t>
      </w:r>
    </w:p>
    <w:p w14:paraId="7027FCA2" w14:textId="6412F1FC" w:rsidR="00FF459D" w:rsidRDefault="00DD3836" w:rsidP="0040685F">
      <w:pPr>
        <w:rPr>
          <w:lang w:eastAsia="en-CA"/>
        </w:rPr>
      </w:pPr>
      <w:r>
        <w:t>With the exception of standard form agreements, formal written contracts are necessarily</w:t>
      </w:r>
      <w:r w:rsidR="00FF459D">
        <w:t xml:space="preserve"> the product of oral</w:t>
      </w:r>
      <w:r w:rsidR="007A7F75">
        <w:t xml:space="preserve"> (and email)</w:t>
      </w:r>
      <w:r w:rsidR="00FF459D">
        <w:t xml:space="preserve"> bargainin</w:t>
      </w:r>
      <w:r w:rsidR="007A7F75">
        <w:t>g</w:t>
      </w:r>
      <w:r w:rsidR="00FF459D">
        <w:t xml:space="preserve">. </w:t>
      </w:r>
      <w:r>
        <w:t>Sometime</w:t>
      </w:r>
      <w:r w:rsidR="007C773B">
        <w:t>s</w:t>
      </w:r>
      <w:r>
        <w:t xml:space="preserve"> those verbal exchanges are </w:t>
      </w:r>
      <w:r w:rsidR="00FF459D">
        <w:t>themselves</w:t>
      </w:r>
      <w:r w:rsidR="00E43EE2">
        <w:t xml:space="preserve"> sufficient to bind parties, </w:t>
      </w:r>
      <w:r w:rsidR="007C773B">
        <w:t xml:space="preserve">even </w:t>
      </w:r>
      <w:r w:rsidR="00E43EE2">
        <w:t xml:space="preserve">despite the parties’ own beliefs as to </w:t>
      </w:r>
      <w:r w:rsidR="007C773B">
        <w:t xml:space="preserve">the state of their negotiations. </w:t>
      </w:r>
      <w:r w:rsidR="00FF459D">
        <w:t xml:space="preserve">Parties “do not, any more than the courts, </w:t>
      </w:r>
      <w:r w:rsidR="00FF459D" w:rsidRPr="00730944">
        <w:rPr>
          <w:lang w:eastAsia="en-CA"/>
        </w:rPr>
        <w:t>find it easy to say precisely when they have reached agreement, and may sometimes continue to negotiate after they appear to have agreed to the same terms.”</w:t>
      </w:r>
      <w:r w:rsidR="00FF459D">
        <w:rPr>
          <w:rStyle w:val="FootnoteReference"/>
          <w:lang w:eastAsia="en-CA"/>
        </w:rPr>
        <w:footnoteReference w:id="4"/>
      </w:r>
      <w:r w:rsidR="00FF459D">
        <w:rPr>
          <w:lang w:eastAsia="en-CA"/>
        </w:rPr>
        <w:t xml:space="preserve"> </w:t>
      </w:r>
    </w:p>
    <w:p w14:paraId="21E31271" w14:textId="3F3BC122" w:rsidR="00B75F64" w:rsidRDefault="009E1EB3" w:rsidP="0040685F">
      <w:pPr>
        <w:rPr>
          <w:lang w:eastAsia="en-CA"/>
        </w:rPr>
      </w:pPr>
      <w:r>
        <w:rPr>
          <w:lang w:eastAsia="en-CA"/>
        </w:rPr>
        <w:t xml:space="preserve">Courts also regularly find an oral agreement sufficient </w:t>
      </w:r>
      <w:r w:rsidR="00FF459D">
        <w:rPr>
          <w:lang w:eastAsia="en-CA"/>
        </w:rPr>
        <w:t>to create a</w:t>
      </w:r>
      <w:r w:rsidR="00293EC4">
        <w:rPr>
          <w:lang w:eastAsia="en-CA"/>
        </w:rPr>
        <w:t xml:space="preserve"> binding</w:t>
      </w:r>
      <w:r w:rsidR="00FF459D">
        <w:rPr>
          <w:lang w:eastAsia="en-CA"/>
        </w:rPr>
        <w:t xml:space="preserve"> </w:t>
      </w:r>
      <w:r w:rsidR="00C859E9">
        <w:rPr>
          <w:lang w:eastAsia="en-CA"/>
        </w:rPr>
        <w:t xml:space="preserve">contract </w:t>
      </w:r>
      <w:r w:rsidR="00FF459D">
        <w:rPr>
          <w:lang w:eastAsia="en-CA"/>
        </w:rPr>
        <w:t xml:space="preserve">despite formal documentation never </w:t>
      </w:r>
      <w:r w:rsidR="00883C2F">
        <w:rPr>
          <w:lang w:eastAsia="en-CA"/>
        </w:rPr>
        <w:t>being</w:t>
      </w:r>
      <w:r w:rsidR="00FF459D">
        <w:rPr>
          <w:lang w:eastAsia="en-CA"/>
        </w:rPr>
        <w:t xml:space="preserve"> signed, and despite an absence of agreement on </w:t>
      </w:r>
      <w:r w:rsidR="00FF459D" w:rsidRPr="009E1EB3">
        <w:rPr>
          <w:u w:val="single"/>
          <w:lang w:eastAsia="en-CA"/>
        </w:rPr>
        <w:t>all</w:t>
      </w:r>
      <w:r w:rsidR="00FF459D">
        <w:rPr>
          <w:lang w:eastAsia="en-CA"/>
        </w:rPr>
        <w:t xml:space="preserve"> terms.</w:t>
      </w:r>
      <w:r w:rsidR="00EB03F8">
        <w:rPr>
          <w:lang w:eastAsia="en-CA"/>
        </w:rPr>
        <w:t xml:space="preserve"> </w:t>
      </w:r>
      <w:r w:rsidR="00FF459D">
        <w:rPr>
          <w:lang w:eastAsia="en-CA"/>
        </w:rPr>
        <w:t>If the essential terms are agreed,</w:t>
      </w:r>
      <w:r w:rsidR="0050451C">
        <w:rPr>
          <w:lang w:eastAsia="en-CA"/>
        </w:rPr>
        <w:t xml:space="preserve"> the agreement </w:t>
      </w:r>
      <w:r>
        <w:rPr>
          <w:lang w:eastAsia="en-CA"/>
        </w:rPr>
        <w:t>is enforceable</w:t>
      </w:r>
      <w:r w:rsidR="0050451C">
        <w:rPr>
          <w:lang w:eastAsia="en-CA"/>
        </w:rPr>
        <w:t>.</w:t>
      </w:r>
      <w:r w:rsidR="00FF459D">
        <w:rPr>
          <w:rStyle w:val="FootnoteReference"/>
          <w:lang w:eastAsia="en-CA"/>
        </w:rPr>
        <w:footnoteReference w:id="5"/>
      </w:r>
      <w:r w:rsidR="00AA130D">
        <w:rPr>
          <w:lang w:eastAsia="en-CA"/>
        </w:rPr>
        <w:t xml:space="preserve"> </w:t>
      </w:r>
    </w:p>
    <w:p w14:paraId="142DC488" w14:textId="249C7938" w:rsidR="009062DE" w:rsidRPr="00A7450F" w:rsidRDefault="0050451C" w:rsidP="0040685F">
      <w:pPr>
        <w:rPr>
          <w:lang w:eastAsia="en-CA"/>
        </w:rPr>
      </w:pPr>
      <w:r>
        <w:rPr>
          <w:lang w:eastAsia="en-CA"/>
        </w:rPr>
        <w:t>T</w:t>
      </w:r>
      <w:r w:rsidR="00FF459D">
        <w:t>he</w:t>
      </w:r>
      <w:r w:rsidR="009062DE">
        <w:t xml:space="preserve"> oral agreement</w:t>
      </w:r>
      <w:r w:rsidR="00AA130D">
        <w:t xml:space="preserve"> on essential terms</w:t>
      </w:r>
      <w:r w:rsidR="009062DE">
        <w:t xml:space="preserve"> will </w:t>
      </w:r>
      <w:r>
        <w:t xml:space="preserve">also </w:t>
      </w:r>
      <w:r w:rsidR="007C773B">
        <w:t xml:space="preserve">not be negated </w:t>
      </w:r>
      <w:r w:rsidR="00A52A6F">
        <w:t>by</w:t>
      </w:r>
      <w:r w:rsidR="009062DE">
        <w:t>:</w:t>
      </w:r>
      <w:bookmarkEnd w:id="3"/>
      <w:bookmarkEnd w:id="4"/>
      <w:bookmarkEnd w:id="5"/>
      <w:bookmarkEnd w:id="6"/>
    </w:p>
    <w:p w14:paraId="3AD95399" w14:textId="77777777" w:rsidR="009062DE" w:rsidRPr="0040685F" w:rsidRDefault="009062DE" w:rsidP="0040685F">
      <w:pPr>
        <w:pStyle w:val="ListParagraph"/>
        <w:numPr>
          <w:ilvl w:val="0"/>
          <w:numId w:val="13"/>
        </w:numPr>
        <w:rPr>
          <w:rFonts w:cs="Arial"/>
          <w:lang w:eastAsia="en-CA"/>
        </w:rPr>
      </w:pPr>
      <w:bookmarkStart w:id="7" w:name="_Toc56772042"/>
      <w:bookmarkStart w:id="8" w:name="_Toc56772143"/>
      <w:bookmarkStart w:id="9" w:name="_Toc56772244"/>
      <w:bookmarkStart w:id="10" w:name="_Toc56776276"/>
      <w:r w:rsidRPr="00D5321B">
        <w:lastRenderedPageBreak/>
        <w:t>Continued</w:t>
      </w:r>
      <w:r>
        <w:t xml:space="preserve"> negotiations between the parties after the agreement is made;</w:t>
      </w:r>
      <w:r>
        <w:rPr>
          <w:rStyle w:val="FootnoteReference"/>
        </w:rPr>
        <w:footnoteReference w:id="6"/>
      </w:r>
      <w:bookmarkEnd w:id="7"/>
      <w:bookmarkEnd w:id="8"/>
      <w:bookmarkEnd w:id="9"/>
      <w:bookmarkEnd w:id="10"/>
      <w:r>
        <w:t xml:space="preserve"> </w:t>
      </w:r>
    </w:p>
    <w:p w14:paraId="3E68E548" w14:textId="77777777" w:rsidR="009062DE" w:rsidRPr="0040685F" w:rsidRDefault="009062DE" w:rsidP="0040685F">
      <w:pPr>
        <w:pStyle w:val="ListParagraph"/>
        <w:numPr>
          <w:ilvl w:val="0"/>
          <w:numId w:val="13"/>
        </w:numPr>
        <w:rPr>
          <w:rFonts w:cs="Arial"/>
          <w:lang w:eastAsia="en-CA"/>
        </w:rPr>
      </w:pPr>
      <w:bookmarkStart w:id="11" w:name="_Toc56772043"/>
      <w:bookmarkStart w:id="12" w:name="_Toc56772144"/>
      <w:bookmarkStart w:id="13" w:name="_Toc56772245"/>
      <w:bookmarkStart w:id="14" w:name="_Toc56776277"/>
      <w:r>
        <w:t>Disagreement over the agreement</w:t>
      </w:r>
      <w:r w:rsidR="007C773B">
        <w:t>’s interpretation</w:t>
      </w:r>
      <w:r>
        <w:t>, or unessential terms;</w:t>
      </w:r>
      <w:r>
        <w:rPr>
          <w:rStyle w:val="FootnoteReference"/>
        </w:rPr>
        <w:footnoteReference w:id="7"/>
      </w:r>
      <w:bookmarkEnd w:id="11"/>
      <w:bookmarkEnd w:id="12"/>
      <w:bookmarkEnd w:id="13"/>
      <w:bookmarkEnd w:id="14"/>
      <w:r>
        <w:t xml:space="preserve"> </w:t>
      </w:r>
    </w:p>
    <w:p w14:paraId="5930C6AF" w14:textId="77777777" w:rsidR="009062DE" w:rsidRPr="00034436" w:rsidRDefault="009062DE" w:rsidP="0040685F">
      <w:pPr>
        <w:pStyle w:val="ListParagraph"/>
        <w:numPr>
          <w:ilvl w:val="0"/>
          <w:numId w:val="13"/>
        </w:numPr>
        <w:rPr>
          <w:lang w:eastAsia="en-CA"/>
        </w:rPr>
      </w:pPr>
      <w:bookmarkStart w:id="15" w:name="_Toc56772044"/>
      <w:bookmarkStart w:id="16" w:name="_Toc56772145"/>
      <w:bookmarkStart w:id="17" w:name="_Toc56772246"/>
      <w:bookmarkStart w:id="18" w:name="_Toc56776278"/>
      <w:r w:rsidRPr="00034436">
        <w:t xml:space="preserve">Attempts by the parties to obtain more than previously agreed </w:t>
      </w:r>
      <w:r>
        <w:t>during</w:t>
      </w:r>
      <w:r w:rsidRPr="00034436">
        <w:t xml:space="preserve"> the process of drafting formal documentation</w:t>
      </w:r>
      <w:r>
        <w:t>;</w:t>
      </w:r>
      <w:r w:rsidRPr="00034436">
        <w:rPr>
          <w:rFonts w:cs="Arial"/>
          <w:vertAlign w:val="superscript"/>
        </w:rPr>
        <w:footnoteReference w:id="8"/>
      </w:r>
      <w:r>
        <w:t xml:space="preserve"> or</w:t>
      </w:r>
      <w:bookmarkEnd w:id="15"/>
      <w:bookmarkEnd w:id="16"/>
      <w:bookmarkEnd w:id="17"/>
      <w:bookmarkEnd w:id="18"/>
    </w:p>
    <w:p w14:paraId="3F430503" w14:textId="551B230A" w:rsidR="009062DE" w:rsidRPr="0040685F" w:rsidRDefault="009062DE" w:rsidP="0040685F">
      <w:pPr>
        <w:pStyle w:val="ListParagraph"/>
        <w:numPr>
          <w:ilvl w:val="0"/>
          <w:numId w:val="13"/>
        </w:numPr>
        <w:rPr>
          <w:rFonts w:cs="Arial"/>
          <w:lang w:eastAsia="en-CA"/>
        </w:rPr>
      </w:pPr>
      <w:bookmarkStart w:id="19" w:name="_Toc56772045"/>
      <w:bookmarkStart w:id="20" w:name="_Toc56772146"/>
      <w:bookmarkStart w:id="21" w:name="_Toc56772247"/>
      <w:bookmarkStart w:id="22" w:name="_Toc56776279"/>
      <w:r>
        <w:t xml:space="preserve">Disagreements between the parties while drafting the </w:t>
      </w:r>
      <w:r w:rsidR="000334FF">
        <w:t>formal documents</w:t>
      </w:r>
      <w:r>
        <w:t>.</w:t>
      </w:r>
      <w:r>
        <w:rPr>
          <w:rStyle w:val="FootnoteReference"/>
        </w:rPr>
        <w:footnoteReference w:id="9"/>
      </w:r>
      <w:bookmarkEnd w:id="19"/>
      <w:bookmarkEnd w:id="20"/>
      <w:bookmarkEnd w:id="21"/>
      <w:bookmarkEnd w:id="22"/>
    </w:p>
    <w:p w14:paraId="09240AFA" w14:textId="01140C45" w:rsidR="000E481E" w:rsidRDefault="006E3587" w:rsidP="0040685F">
      <w:r>
        <w:t xml:space="preserve">Moreover, </w:t>
      </w:r>
      <w:r w:rsidR="00C57128">
        <w:t xml:space="preserve">the essential terms </w:t>
      </w:r>
      <w:r w:rsidR="00F93BE4">
        <w:t xml:space="preserve">to create a binding </w:t>
      </w:r>
      <w:r w:rsidR="00B624BF">
        <w:t xml:space="preserve">contract </w:t>
      </w:r>
      <w:r w:rsidR="00C57128">
        <w:t xml:space="preserve">can be minimal. </w:t>
      </w:r>
      <w:r w:rsidR="00B455B5">
        <w:t xml:space="preserve">In its </w:t>
      </w:r>
      <w:r w:rsidR="00B455B5" w:rsidRPr="000A1942">
        <w:t xml:space="preserve">recent decision in </w:t>
      </w:r>
      <w:r w:rsidR="00B455B5" w:rsidRPr="000A1942">
        <w:rPr>
          <w:i/>
          <w:lang w:eastAsia="en-CA"/>
        </w:rPr>
        <w:t>1750738 Ontario c</w:t>
      </w:r>
      <w:r w:rsidR="001F6313" w:rsidRPr="000A1942">
        <w:rPr>
          <w:i/>
          <w:lang w:eastAsia="en-CA"/>
        </w:rPr>
        <w:t>.</w:t>
      </w:r>
      <w:r w:rsidR="00B455B5" w:rsidRPr="000A1942">
        <w:rPr>
          <w:i/>
          <w:lang w:eastAsia="en-CA"/>
        </w:rPr>
        <w:t xml:space="preserve"> 1750714 Ontario</w:t>
      </w:r>
      <w:r w:rsidR="0019027C">
        <w:rPr>
          <w:lang w:eastAsia="en-CA"/>
        </w:rPr>
        <w:t>,</w:t>
      </w:r>
      <w:r w:rsidR="00C00B0C">
        <w:rPr>
          <w:lang w:eastAsia="en-CA"/>
        </w:rPr>
        <w:t xml:space="preserve"> </w:t>
      </w:r>
      <w:r w:rsidR="00B455B5" w:rsidRPr="000A1942">
        <w:t>t</w:t>
      </w:r>
      <w:r w:rsidR="00C57128" w:rsidRPr="000A1942">
        <w:t xml:space="preserve">he Ontario Court of Appeal upheld an oral </w:t>
      </w:r>
      <w:r w:rsidR="000334FF">
        <w:t>contract</w:t>
      </w:r>
      <w:r w:rsidR="00C57128" w:rsidRPr="000A1942">
        <w:t xml:space="preserve"> with just two terms</w:t>
      </w:r>
      <w:r w:rsidR="00C57128" w:rsidRPr="000A1942">
        <w:rPr>
          <w:lang w:eastAsia="en-CA"/>
        </w:rPr>
        <w:t xml:space="preserve">. </w:t>
      </w:r>
      <w:r w:rsidR="00B455B5" w:rsidRPr="000A1942">
        <w:rPr>
          <w:lang w:eastAsia="en-CA"/>
        </w:rPr>
        <w:t>T</w:t>
      </w:r>
      <w:r w:rsidR="00C57128" w:rsidRPr="000A1942">
        <w:rPr>
          <w:lang w:eastAsia="en-CA"/>
        </w:rPr>
        <w:t>he</w:t>
      </w:r>
      <w:r w:rsidR="00441A25" w:rsidRPr="000A1942">
        <w:rPr>
          <w:lang w:eastAsia="en-CA"/>
        </w:rPr>
        <w:t xml:space="preserve"> </w:t>
      </w:r>
      <w:r w:rsidR="00C57128" w:rsidRPr="000A1942">
        <w:rPr>
          <w:lang w:eastAsia="en-CA"/>
        </w:rPr>
        <w:t>plaintiff</w:t>
      </w:r>
      <w:r w:rsidR="000A1942" w:rsidRPr="000A1942">
        <w:rPr>
          <w:lang w:eastAsia="en-CA"/>
        </w:rPr>
        <w:t>’</w:t>
      </w:r>
      <w:r w:rsidR="0089574D">
        <w:rPr>
          <w:lang w:eastAsia="en-CA"/>
        </w:rPr>
        <w:t>s</w:t>
      </w:r>
      <w:r w:rsidR="000A1942" w:rsidRPr="000A1942">
        <w:rPr>
          <w:lang w:eastAsia="en-CA"/>
        </w:rPr>
        <w:t xml:space="preserve"> principal</w:t>
      </w:r>
      <w:r w:rsidR="00C57128" w:rsidRPr="000A1942">
        <w:rPr>
          <w:lang w:eastAsia="en-CA"/>
        </w:rPr>
        <w:t xml:space="preserve"> </w:t>
      </w:r>
      <w:r w:rsidR="000E481E" w:rsidRPr="000A1942">
        <w:rPr>
          <w:lang w:eastAsia="en-CA"/>
        </w:rPr>
        <w:t>agreed</w:t>
      </w:r>
      <w:r w:rsidR="00C57128" w:rsidRPr="000A1942">
        <w:rPr>
          <w:lang w:eastAsia="en-CA"/>
        </w:rPr>
        <w:t xml:space="preserve"> to fund a subdivision development on an equal basis with</w:t>
      </w:r>
      <w:r w:rsidR="000E481E" w:rsidRPr="000A1942">
        <w:rPr>
          <w:lang w:eastAsia="en-CA"/>
        </w:rPr>
        <w:t xml:space="preserve"> its </w:t>
      </w:r>
      <w:r w:rsidR="00C57128" w:rsidRPr="000A1942">
        <w:rPr>
          <w:lang w:eastAsia="en-CA"/>
        </w:rPr>
        <w:t>other investors. In exchange</w:t>
      </w:r>
      <w:r w:rsidR="000E481E" w:rsidRPr="000A1942">
        <w:rPr>
          <w:lang w:eastAsia="en-CA"/>
        </w:rPr>
        <w:t>,</w:t>
      </w:r>
      <w:r w:rsidR="00C57128" w:rsidRPr="000A1942">
        <w:rPr>
          <w:lang w:eastAsia="en-CA"/>
        </w:rPr>
        <w:t xml:space="preserve"> </w:t>
      </w:r>
      <w:r w:rsidR="000F19B4" w:rsidRPr="000A1942">
        <w:rPr>
          <w:lang w:eastAsia="en-CA"/>
        </w:rPr>
        <w:t>a</w:t>
      </w:r>
      <w:r w:rsidR="000A1942" w:rsidRPr="000A1942">
        <w:rPr>
          <w:lang w:eastAsia="en-CA"/>
        </w:rPr>
        <w:t xml:space="preserve"> company </w:t>
      </w:r>
      <w:r w:rsidR="000F19B4" w:rsidRPr="000A1942">
        <w:rPr>
          <w:lang w:eastAsia="en-CA"/>
        </w:rPr>
        <w:t xml:space="preserve">affiliated </w:t>
      </w:r>
      <w:r w:rsidR="000A1942" w:rsidRPr="000A1942">
        <w:rPr>
          <w:lang w:eastAsia="en-CA"/>
        </w:rPr>
        <w:t xml:space="preserve">with </w:t>
      </w:r>
      <w:r w:rsidR="00441A25" w:rsidRPr="000A1942">
        <w:rPr>
          <w:lang w:eastAsia="en-CA"/>
        </w:rPr>
        <w:t>the</w:t>
      </w:r>
      <w:r w:rsidR="00C57128" w:rsidRPr="000A1942">
        <w:rPr>
          <w:lang w:eastAsia="en-CA"/>
        </w:rPr>
        <w:t xml:space="preserve"> plaintiff would </w:t>
      </w:r>
      <w:r w:rsidR="00B113CB" w:rsidRPr="000A1942">
        <w:rPr>
          <w:lang w:eastAsia="en-CA"/>
        </w:rPr>
        <w:t>get</w:t>
      </w:r>
      <w:r w:rsidR="00C57128" w:rsidRPr="000A1942">
        <w:rPr>
          <w:lang w:eastAsia="en-CA"/>
        </w:rPr>
        <w:t xml:space="preserve"> the right </w:t>
      </w:r>
      <w:r w:rsidR="000E481E" w:rsidRPr="000A1942">
        <w:rPr>
          <w:lang w:eastAsia="en-CA"/>
        </w:rPr>
        <w:t>t</w:t>
      </w:r>
      <w:r w:rsidR="00C57128" w:rsidRPr="000A1942">
        <w:rPr>
          <w:lang w:eastAsia="en-CA"/>
        </w:rPr>
        <w:t xml:space="preserve">o build houses on a number of lots equal to </w:t>
      </w:r>
      <w:r w:rsidR="000E481E" w:rsidRPr="000A1942">
        <w:rPr>
          <w:lang w:eastAsia="en-CA"/>
        </w:rPr>
        <w:t>its share in the project. All other terms—</w:t>
      </w:r>
      <w:r w:rsidR="004E1D80" w:rsidRPr="000A1942">
        <w:rPr>
          <w:lang w:eastAsia="en-CA"/>
        </w:rPr>
        <w:t>the total number of available lots</w:t>
      </w:r>
      <w:r w:rsidR="000E481E" w:rsidRPr="000A1942">
        <w:rPr>
          <w:lang w:eastAsia="en-CA"/>
        </w:rPr>
        <w:t>, the price</w:t>
      </w:r>
      <w:r w:rsidR="001A500D" w:rsidRPr="000A1942">
        <w:rPr>
          <w:lang w:eastAsia="en-CA"/>
        </w:rPr>
        <w:t xml:space="preserve"> of the lots</w:t>
      </w:r>
      <w:r w:rsidR="000E481E" w:rsidRPr="000A1942">
        <w:rPr>
          <w:lang w:eastAsia="en-CA"/>
        </w:rPr>
        <w:t xml:space="preserve">, </w:t>
      </w:r>
      <w:r w:rsidR="001A500D" w:rsidRPr="000A1942">
        <w:rPr>
          <w:lang w:eastAsia="en-CA"/>
        </w:rPr>
        <w:t xml:space="preserve">the </w:t>
      </w:r>
      <w:r w:rsidR="000E481E" w:rsidRPr="000A1942">
        <w:rPr>
          <w:lang w:eastAsia="en-CA"/>
        </w:rPr>
        <w:t>nature</w:t>
      </w:r>
      <w:r w:rsidR="001A500D" w:rsidRPr="000A1942">
        <w:rPr>
          <w:lang w:eastAsia="en-CA"/>
        </w:rPr>
        <w:t xml:space="preserve"> of the lots, the </w:t>
      </w:r>
      <w:r w:rsidR="000E481E" w:rsidRPr="000A1942">
        <w:rPr>
          <w:lang w:eastAsia="en-CA"/>
        </w:rPr>
        <w:t>location</w:t>
      </w:r>
      <w:r w:rsidR="001A500D" w:rsidRPr="000A1942">
        <w:rPr>
          <w:lang w:eastAsia="en-CA"/>
        </w:rPr>
        <w:t>s</w:t>
      </w:r>
      <w:r w:rsidR="000E481E" w:rsidRPr="000A1942">
        <w:rPr>
          <w:lang w:eastAsia="en-CA"/>
        </w:rPr>
        <w:t xml:space="preserve"> of the lots, </w:t>
      </w:r>
      <w:r w:rsidR="004E1D80" w:rsidRPr="000A1942">
        <w:rPr>
          <w:lang w:eastAsia="en-CA"/>
        </w:rPr>
        <w:t xml:space="preserve">the </w:t>
      </w:r>
      <w:r w:rsidR="004E1D80" w:rsidRPr="000A1942">
        <w:rPr>
          <w:lang w:eastAsia="en-CA"/>
        </w:rPr>
        <w:lastRenderedPageBreak/>
        <w:t>durat</w:t>
      </w:r>
      <w:r w:rsidR="004E1D80">
        <w:rPr>
          <w:lang w:eastAsia="en-CA"/>
        </w:rPr>
        <w:t>ion of the agreement,</w:t>
      </w:r>
      <w:r w:rsidR="00090944">
        <w:rPr>
          <w:lang w:eastAsia="en-CA"/>
        </w:rPr>
        <w:t xml:space="preserve"> and</w:t>
      </w:r>
      <w:r w:rsidR="004E1D80">
        <w:rPr>
          <w:lang w:eastAsia="en-CA"/>
        </w:rPr>
        <w:t xml:space="preserve"> </w:t>
      </w:r>
      <w:r w:rsidR="000E481E">
        <w:rPr>
          <w:lang w:eastAsia="en-CA"/>
        </w:rPr>
        <w:t>the identity of the</w:t>
      </w:r>
      <w:r w:rsidR="00EB09E1">
        <w:rPr>
          <w:lang w:eastAsia="en-CA"/>
        </w:rPr>
        <w:t xml:space="preserve"> other</w:t>
      </w:r>
      <w:r w:rsidR="000E481E">
        <w:rPr>
          <w:lang w:eastAsia="en-CA"/>
        </w:rPr>
        <w:t xml:space="preserve"> investors—were unknown.</w:t>
      </w:r>
      <w:r w:rsidR="000E481E">
        <w:rPr>
          <w:rStyle w:val="FootnoteReference"/>
          <w:lang w:eastAsia="en-CA"/>
        </w:rPr>
        <w:footnoteReference w:id="10"/>
      </w:r>
      <w:r w:rsidR="000E481E">
        <w:rPr>
          <w:lang w:eastAsia="en-CA"/>
        </w:rPr>
        <w:t xml:space="preserve"> </w:t>
      </w:r>
    </w:p>
    <w:p w14:paraId="46C5C5DA" w14:textId="17A6A66B" w:rsidR="008F02EF" w:rsidRPr="008F02EF" w:rsidRDefault="00977AEB" w:rsidP="0040685F">
      <w:pPr>
        <w:rPr>
          <w:i/>
          <w:lang w:eastAsia="en-CA"/>
        </w:rPr>
      </w:pPr>
      <w:r>
        <w:rPr>
          <w:lang w:eastAsia="en-CA"/>
        </w:rPr>
        <w:t xml:space="preserve">On </w:t>
      </w:r>
      <w:r w:rsidR="000A1942">
        <w:rPr>
          <w:lang w:eastAsia="en-CA"/>
        </w:rPr>
        <w:t xml:space="preserve">the </w:t>
      </w:r>
      <w:r>
        <w:rPr>
          <w:lang w:eastAsia="en-CA"/>
        </w:rPr>
        <w:t xml:space="preserve">need </w:t>
      </w:r>
      <w:r w:rsidR="000A1942">
        <w:rPr>
          <w:lang w:eastAsia="en-CA"/>
        </w:rPr>
        <w:t>for</w:t>
      </w:r>
      <w:r>
        <w:rPr>
          <w:lang w:eastAsia="en-CA"/>
        </w:rPr>
        <w:t xml:space="preserve"> minimal essential terms, t</w:t>
      </w:r>
      <w:r w:rsidR="008F02EF">
        <w:rPr>
          <w:lang w:eastAsia="en-CA"/>
        </w:rPr>
        <w:t xml:space="preserve">he Court of Appeal’s decision in </w:t>
      </w:r>
      <w:r w:rsidR="008F02EF">
        <w:rPr>
          <w:i/>
          <w:lang w:eastAsia="en-CA"/>
        </w:rPr>
        <w:t xml:space="preserve">175 Ontario </w:t>
      </w:r>
      <w:r w:rsidR="008F02EF">
        <w:rPr>
          <w:lang w:eastAsia="en-CA"/>
        </w:rPr>
        <w:t>is</w:t>
      </w:r>
      <w:r>
        <w:rPr>
          <w:lang w:eastAsia="en-CA"/>
        </w:rPr>
        <w:t xml:space="preserve"> </w:t>
      </w:r>
      <w:r w:rsidR="008F02EF">
        <w:rPr>
          <w:lang w:eastAsia="en-CA"/>
        </w:rPr>
        <w:t xml:space="preserve">consistent with prior </w:t>
      </w:r>
      <w:r w:rsidR="005A1A2A">
        <w:rPr>
          <w:lang w:eastAsia="en-CA"/>
        </w:rPr>
        <w:t>authority</w:t>
      </w:r>
      <w:r w:rsidR="008F02EF">
        <w:rPr>
          <w:lang w:eastAsia="en-CA"/>
        </w:rPr>
        <w:t xml:space="preserve">. In </w:t>
      </w:r>
      <w:r w:rsidR="008F02EF" w:rsidRPr="003C098C">
        <w:rPr>
          <w:i/>
        </w:rPr>
        <w:t>Wilson v</w:t>
      </w:r>
      <w:r w:rsidR="001F6313">
        <w:rPr>
          <w:i/>
        </w:rPr>
        <w:t xml:space="preserve">. </w:t>
      </w:r>
      <w:proofErr w:type="spellStart"/>
      <w:r w:rsidR="008F02EF" w:rsidRPr="003C098C">
        <w:rPr>
          <w:i/>
        </w:rPr>
        <w:t>Graydon</w:t>
      </w:r>
      <w:proofErr w:type="spellEnd"/>
      <w:r w:rsidR="008F02EF" w:rsidRPr="003C098C">
        <w:rPr>
          <w:i/>
        </w:rPr>
        <w:t xml:space="preserve"> Hall Pizza &amp; Catering</w:t>
      </w:r>
      <w:r w:rsidR="00B80110">
        <w:t>,</w:t>
      </w:r>
      <w:r w:rsidR="006F2989">
        <w:t xml:space="preserve"> </w:t>
      </w:r>
      <w:r w:rsidR="00B80110">
        <w:t xml:space="preserve">the </w:t>
      </w:r>
      <w:r w:rsidR="009D7854">
        <w:t xml:space="preserve">Ontario </w:t>
      </w:r>
      <w:r w:rsidR="0014450F">
        <w:t>Court (</w:t>
      </w:r>
      <w:r w:rsidR="00B80110">
        <w:t>General Division</w:t>
      </w:r>
      <w:r w:rsidR="0014450F">
        <w:t>)</w:t>
      </w:r>
      <w:r w:rsidR="00B80110">
        <w:t xml:space="preserve"> upheld an oral </w:t>
      </w:r>
      <w:r w:rsidR="00DB78BD">
        <w:t>contract</w:t>
      </w:r>
      <w:r w:rsidR="00B80110">
        <w:t xml:space="preserve"> whose terms</w:t>
      </w:r>
      <w:r w:rsidR="004E1D80">
        <w:t xml:space="preserve"> were limited to purchase price and</w:t>
      </w:r>
      <w:r w:rsidR="00B80110">
        <w:t xml:space="preserve"> forgiveness of prior debts.</w:t>
      </w:r>
      <w:r>
        <w:t xml:space="preserve"> T</w:t>
      </w:r>
      <w:r w:rsidR="00B80110">
        <w:t>he formal written agreemen</w:t>
      </w:r>
      <w:r w:rsidR="00492D04">
        <w:t>t</w:t>
      </w:r>
      <w:r w:rsidR="005A1A2A">
        <w:t>—</w:t>
      </w:r>
      <w:r w:rsidR="00492D04">
        <w:t xml:space="preserve">which </w:t>
      </w:r>
      <w:r w:rsidR="00B80110">
        <w:t>the</w:t>
      </w:r>
      <w:r w:rsidR="006F2989">
        <w:t xml:space="preserve"> defendant refused to sig</w:t>
      </w:r>
      <w:r w:rsidR="00492D04">
        <w:t>n</w:t>
      </w:r>
      <w:r w:rsidR="005A1A2A">
        <w:t>—</w:t>
      </w:r>
      <w:r w:rsidR="00B80110">
        <w:t>included terms relating to prod</w:t>
      </w:r>
      <w:r>
        <w:t xml:space="preserve">uct supply and non-competition. The trial judge held </w:t>
      </w:r>
      <w:r w:rsidR="00B80110">
        <w:t>these</w:t>
      </w:r>
      <w:r>
        <w:t xml:space="preserve"> additional terms</w:t>
      </w:r>
      <w:r w:rsidR="00B80110">
        <w:t xml:space="preserve"> were not essential to the </w:t>
      </w:r>
      <w:r w:rsidR="006F2989">
        <w:t>parties’ bargain</w:t>
      </w:r>
      <w:r w:rsidR="00B80110">
        <w:t xml:space="preserve">. </w:t>
      </w:r>
      <w:r w:rsidR="004E1D80">
        <w:t xml:space="preserve">The </w:t>
      </w:r>
      <w:r w:rsidR="001D22FE">
        <w:t xml:space="preserve">Ontario </w:t>
      </w:r>
      <w:r w:rsidR="004E1D80">
        <w:t xml:space="preserve">Court of Appeal </w:t>
      </w:r>
      <w:r w:rsidR="00A9544A">
        <w:t>af</w:t>
      </w:r>
      <w:r w:rsidR="001C264F">
        <w:t xml:space="preserve">firmed </w:t>
      </w:r>
      <w:r w:rsidR="000B35D4">
        <w:t>the trial judgment</w:t>
      </w:r>
      <w:r w:rsidR="00B80110">
        <w:t>.</w:t>
      </w:r>
      <w:r w:rsidR="006F2989">
        <w:rPr>
          <w:rStyle w:val="FootnoteReference"/>
        </w:rPr>
        <w:footnoteReference w:id="11"/>
      </w:r>
    </w:p>
    <w:p w14:paraId="2C441C68" w14:textId="768C0584" w:rsidR="0063534E" w:rsidRPr="0063534E" w:rsidRDefault="0063534E" w:rsidP="0040685F">
      <w:pPr>
        <w:rPr>
          <w:i/>
          <w:lang w:eastAsia="en-CA"/>
        </w:rPr>
      </w:pPr>
      <w:r>
        <w:rPr>
          <w:lang w:eastAsia="en-CA"/>
        </w:rPr>
        <w:t xml:space="preserve">At the root of these decisions is a recognition that a court’s role is to enforce a contract if </w:t>
      </w:r>
      <w:r w:rsidR="001C264F">
        <w:rPr>
          <w:lang w:eastAsia="en-CA"/>
        </w:rPr>
        <w:t xml:space="preserve">it finds that </w:t>
      </w:r>
      <w:r>
        <w:rPr>
          <w:lang w:eastAsia="en-CA"/>
        </w:rPr>
        <w:t xml:space="preserve">the parties intended to bind themselves. This intention can manifest itself in oral agreements as well as rudimentary written ones. </w:t>
      </w:r>
      <w:r w:rsidR="0019027C">
        <w:rPr>
          <w:lang w:eastAsia="en-CA"/>
        </w:rPr>
        <w:t>The Ontario Court of Appeal explained a</w:t>
      </w:r>
      <w:r w:rsidR="005E7D4D">
        <w:rPr>
          <w:lang w:eastAsia="en-CA"/>
        </w:rPr>
        <w:t xml:space="preserve"> court’s role i</w:t>
      </w:r>
      <w:r w:rsidR="0019027C">
        <w:rPr>
          <w:lang w:eastAsia="en-CA"/>
        </w:rPr>
        <w:t>n</w:t>
      </w:r>
      <w:r w:rsidR="0019027C">
        <w:rPr>
          <w:i/>
          <w:iCs/>
          <w:color w:val="000000"/>
        </w:rPr>
        <w:t xml:space="preserve"> </w:t>
      </w:r>
      <w:r w:rsidR="0019027C" w:rsidRPr="0019027C">
        <w:rPr>
          <w:i/>
          <w:iCs/>
          <w:color w:val="000000"/>
        </w:rPr>
        <w:t xml:space="preserve">Canada Square v. </w:t>
      </w:r>
      <w:proofErr w:type="spellStart"/>
      <w:r w:rsidR="0019027C">
        <w:rPr>
          <w:i/>
          <w:iCs/>
          <w:color w:val="000000"/>
        </w:rPr>
        <w:t>Versafood</w:t>
      </w:r>
      <w:proofErr w:type="spellEnd"/>
      <w:r w:rsidR="0019027C" w:rsidRPr="0019027C">
        <w:rPr>
          <w:i/>
          <w:iCs/>
          <w:color w:val="000000"/>
        </w:rPr>
        <w:t xml:space="preserve"> Services</w:t>
      </w:r>
      <w:r w:rsidRPr="0019027C">
        <w:rPr>
          <w:iCs/>
          <w:color w:val="000000"/>
        </w:rPr>
        <w:t>,</w:t>
      </w:r>
      <w:r w:rsidR="0019027C">
        <w:rPr>
          <w:iCs/>
          <w:color w:val="000000"/>
        </w:rPr>
        <w:t xml:space="preserve"> adopting</w:t>
      </w:r>
      <w:r>
        <w:rPr>
          <w:iCs/>
          <w:color w:val="000000"/>
        </w:rPr>
        <w:t xml:space="preserve"> the following edict from Lord Wright:</w:t>
      </w:r>
    </w:p>
    <w:p w14:paraId="4C027DF3" w14:textId="77777777" w:rsidR="0063534E" w:rsidRPr="000E481E" w:rsidRDefault="0063534E" w:rsidP="0063534E">
      <w:pPr>
        <w:pStyle w:val="Quote"/>
      </w:pPr>
      <w:r>
        <w:t xml:space="preserve">The object of the court is to do justice between the parties, and the court will do its best, if satisfied that there </w:t>
      </w:r>
      <w:r>
        <w:lastRenderedPageBreak/>
        <w:t>was an ascertainable and determinate intention to contract, to give effect to that intention, looking at substance and not mere form.</w:t>
      </w:r>
      <w:r>
        <w:rPr>
          <w:rStyle w:val="FootnoteReference"/>
          <w:color w:val="000000"/>
          <w:sz w:val="27"/>
          <w:szCs w:val="27"/>
        </w:rPr>
        <w:footnoteReference w:id="12"/>
      </w:r>
    </w:p>
    <w:p w14:paraId="16A6A7A6" w14:textId="48938A8E" w:rsidR="002216D6" w:rsidRDefault="006F2989" w:rsidP="006F2989">
      <w:pPr>
        <w:pStyle w:val="Heading2"/>
      </w:pPr>
      <w:bookmarkStart w:id="23" w:name="_Toc74812117"/>
      <w:r>
        <w:t>An o</w:t>
      </w:r>
      <w:r w:rsidR="002216D6">
        <w:t xml:space="preserve">ral agreement can </w:t>
      </w:r>
      <w:r w:rsidR="00610956">
        <w:t xml:space="preserve">even </w:t>
      </w:r>
      <w:r w:rsidR="002216D6">
        <w:t xml:space="preserve">survive </w:t>
      </w:r>
      <w:r w:rsidR="001772AF">
        <w:t xml:space="preserve">a targeted </w:t>
      </w:r>
      <w:r w:rsidR="00CF03FC">
        <w:t>ex</w:t>
      </w:r>
      <w:r w:rsidR="001772AF">
        <w:t>clusion</w:t>
      </w:r>
      <w:r w:rsidR="00440EA3">
        <w:t xml:space="preserve"> clause</w:t>
      </w:r>
      <w:bookmarkEnd w:id="23"/>
    </w:p>
    <w:p w14:paraId="127A5304" w14:textId="3BB216EF" w:rsidR="009F7A1F" w:rsidRDefault="00D60CD3" w:rsidP="0040685F">
      <w:pPr>
        <w:rPr>
          <w:lang w:eastAsia="en-CA"/>
        </w:rPr>
      </w:pPr>
      <w:r>
        <w:rPr>
          <w:lang w:eastAsia="en-CA"/>
        </w:rPr>
        <w:t>The</w:t>
      </w:r>
      <w:r w:rsidR="008F02EF">
        <w:rPr>
          <w:lang w:eastAsia="en-CA"/>
        </w:rPr>
        <w:t xml:space="preserve"> oral contract </w:t>
      </w:r>
      <w:r>
        <w:rPr>
          <w:lang w:eastAsia="en-CA"/>
        </w:rPr>
        <w:t xml:space="preserve">in </w:t>
      </w:r>
      <w:r>
        <w:rPr>
          <w:i/>
          <w:lang w:eastAsia="en-CA"/>
        </w:rPr>
        <w:t xml:space="preserve">175 Ontario </w:t>
      </w:r>
      <w:r w:rsidR="00C4038F">
        <w:rPr>
          <w:lang w:eastAsia="en-CA"/>
        </w:rPr>
        <w:t>included minimal terms</w:t>
      </w:r>
      <w:r>
        <w:rPr>
          <w:lang w:eastAsia="en-CA"/>
        </w:rPr>
        <w:t xml:space="preserve"> </w:t>
      </w:r>
      <w:r w:rsidR="00C4038F">
        <w:rPr>
          <w:lang w:eastAsia="en-CA"/>
        </w:rPr>
        <w:t xml:space="preserve">and </w:t>
      </w:r>
      <w:r w:rsidR="000A7F7A">
        <w:rPr>
          <w:lang w:eastAsia="en-CA"/>
        </w:rPr>
        <w:t xml:space="preserve">the defendant </w:t>
      </w:r>
      <w:r w:rsidR="00306108">
        <w:rPr>
          <w:lang w:eastAsia="en-CA"/>
        </w:rPr>
        <w:t xml:space="preserve">denied </w:t>
      </w:r>
      <w:r w:rsidR="000A7F7A">
        <w:rPr>
          <w:lang w:eastAsia="en-CA"/>
        </w:rPr>
        <w:t xml:space="preserve">it </w:t>
      </w:r>
      <w:r w:rsidR="00306108">
        <w:rPr>
          <w:lang w:eastAsia="en-CA"/>
        </w:rPr>
        <w:t>outright</w:t>
      </w:r>
      <w:r w:rsidR="00C4038F">
        <w:rPr>
          <w:lang w:eastAsia="en-CA"/>
        </w:rPr>
        <w:t>. It also</w:t>
      </w:r>
      <w:r w:rsidR="009F7A1F">
        <w:rPr>
          <w:lang w:eastAsia="en-CA"/>
        </w:rPr>
        <w:t xml:space="preserve"> </w:t>
      </w:r>
      <w:r w:rsidR="00A96225">
        <w:rPr>
          <w:lang w:eastAsia="en-CA"/>
        </w:rPr>
        <w:t>conflicted wit</w:t>
      </w:r>
      <w:r w:rsidR="00306108">
        <w:rPr>
          <w:lang w:eastAsia="en-CA"/>
        </w:rPr>
        <w:t xml:space="preserve">h </w:t>
      </w:r>
      <w:r w:rsidR="008F02EF">
        <w:rPr>
          <w:lang w:eastAsia="en-CA"/>
        </w:rPr>
        <w:t xml:space="preserve">an </w:t>
      </w:r>
      <w:r w:rsidR="00CF03FC">
        <w:rPr>
          <w:lang w:eastAsia="en-CA"/>
        </w:rPr>
        <w:t>exclusion</w:t>
      </w:r>
      <w:r w:rsidR="008F02EF">
        <w:rPr>
          <w:lang w:eastAsia="en-CA"/>
        </w:rPr>
        <w:t xml:space="preserve"> clause in the shareholders agreement </w:t>
      </w:r>
      <w:r w:rsidR="00756759">
        <w:rPr>
          <w:lang w:eastAsia="en-CA"/>
        </w:rPr>
        <w:t xml:space="preserve">that </w:t>
      </w:r>
      <w:r w:rsidR="00C4038F">
        <w:rPr>
          <w:lang w:eastAsia="en-CA"/>
        </w:rPr>
        <w:t xml:space="preserve">all investors later signed. The clause purported </w:t>
      </w:r>
      <w:r w:rsidR="008F02EF">
        <w:rPr>
          <w:lang w:eastAsia="en-CA"/>
        </w:rPr>
        <w:t>to terminate all prior agreements</w:t>
      </w:r>
      <w:r w:rsidR="007A1B26">
        <w:rPr>
          <w:lang w:eastAsia="en-CA"/>
        </w:rPr>
        <w:t xml:space="preserve"> related to the corporation or shares in it</w:t>
      </w:r>
      <w:r w:rsidR="008F02EF">
        <w:rPr>
          <w:lang w:eastAsia="en-CA"/>
        </w:rPr>
        <w:t>.</w:t>
      </w:r>
      <w:r w:rsidR="008F02EF">
        <w:rPr>
          <w:rStyle w:val="FootnoteReference"/>
          <w:lang w:eastAsia="en-CA"/>
        </w:rPr>
        <w:footnoteReference w:id="13"/>
      </w:r>
      <w:r w:rsidR="008F02EF">
        <w:rPr>
          <w:lang w:eastAsia="en-CA"/>
        </w:rPr>
        <w:t xml:space="preserve"> </w:t>
      </w:r>
    </w:p>
    <w:p w14:paraId="25A52E63" w14:textId="428A5F14" w:rsidR="00004BCC" w:rsidRPr="00A804A6" w:rsidRDefault="009F7A1F" w:rsidP="0040685F">
      <w:pPr>
        <w:rPr>
          <w:lang w:eastAsia="en-CA"/>
        </w:rPr>
      </w:pPr>
      <w:r>
        <w:rPr>
          <w:lang w:eastAsia="en-CA"/>
        </w:rPr>
        <w:t xml:space="preserve">The Court of Appeal’s decision to enforce the oral </w:t>
      </w:r>
      <w:r w:rsidR="000F375B">
        <w:rPr>
          <w:lang w:eastAsia="en-CA"/>
        </w:rPr>
        <w:t>contract</w:t>
      </w:r>
      <w:r>
        <w:rPr>
          <w:lang w:eastAsia="en-CA"/>
        </w:rPr>
        <w:t xml:space="preserve"> </w:t>
      </w:r>
      <w:r w:rsidR="00731F79">
        <w:rPr>
          <w:lang w:eastAsia="en-CA"/>
        </w:rPr>
        <w:t xml:space="preserve">in the face of a </w:t>
      </w:r>
      <w:r w:rsidR="00731F79" w:rsidRPr="00756759">
        <w:rPr>
          <w:i/>
          <w:lang w:eastAsia="en-CA"/>
        </w:rPr>
        <w:t>subsequent</w:t>
      </w:r>
      <w:r w:rsidR="00C237FB">
        <w:rPr>
          <w:lang w:eastAsia="en-CA"/>
        </w:rPr>
        <w:t xml:space="preserve"> entire agreement clause</w:t>
      </w:r>
      <w:r w:rsidR="0075696A">
        <w:rPr>
          <w:lang w:eastAsia="en-CA"/>
        </w:rPr>
        <w:t xml:space="preserve"> that purported to terminate </w:t>
      </w:r>
      <w:r w:rsidR="00BE552A">
        <w:rPr>
          <w:lang w:eastAsia="en-CA"/>
        </w:rPr>
        <w:t>prior</w:t>
      </w:r>
      <w:r w:rsidR="0075696A">
        <w:rPr>
          <w:lang w:eastAsia="en-CA"/>
        </w:rPr>
        <w:t xml:space="preserve"> </w:t>
      </w:r>
      <w:r w:rsidR="00BE552A">
        <w:rPr>
          <w:lang w:eastAsia="en-CA"/>
        </w:rPr>
        <w:t>oral contracts</w:t>
      </w:r>
      <w:r w:rsidR="00C237FB">
        <w:rPr>
          <w:lang w:eastAsia="en-CA"/>
        </w:rPr>
        <w:t xml:space="preserve"> </w:t>
      </w:r>
      <w:r w:rsidR="00FF4B04">
        <w:rPr>
          <w:lang w:eastAsia="en-CA"/>
        </w:rPr>
        <w:t xml:space="preserve">is </w:t>
      </w:r>
      <w:r w:rsidR="009E1EB3">
        <w:rPr>
          <w:lang w:eastAsia="en-CA"/>
        </w:rPr>
        <w:t>significant</w:t>
      </w:r>
      <w:r w:rsidR="00FF4B04">
        <w:rPr>
          <w:lang w:eastAsia="en-CA"/>
        </w:rPr>
        <w:t>.</w:t>
      </w:r>
      <w:r w:rsidR="007A1B26">
        <w:rPr>
          <w:lang w:eastAsia="en-CA"/>
        </w:rPr>
        <w:t xml:space="preserve"> </w:t>
      </w:r>
      <w:r w:rsidR="00543BBF">
        <w:rPr>
          <w:lang w:eastAsia="en-CA"/>
        </w:rPr>
        <w:t>In its</w:t>
      </w:r>
      <w:r w:rsidR="00C237FB">
        <w:rPr>
          <w:lang w:eastAsia="en-CA"/>
        </w:rPr>
        <w:t xml:space="preserve"> earlier decision in </w:t>
      </w:r>
      <w:r w:rsidR="00160B2E">
        <w:rPr>
          <w:i/>
          <w:iCs/>
        </w:rPr>
        <w:t>Gutierrez v</w:t>
      </w:r>
      <w:r w:rsidR="00EF34FB">
        <w:rPr>
          <w:i/>
          <w:iCs/>
        </w:rPr>
        <w:t>.</w:t>
      </w:r>
      <w:r w:rsidR="00C237FB">
        <w:rPr>
          <w:i/>
          <w:iCs/>
        </w:rPr>
        <w:t xml:space="preserve"> Tropic International</w:t>
      </w:r>
      <w:r w:rsidR="00C237FB">
        <w:t xml:space="preserve">, the </w:t>
      </w:r>
      <w:r w:rsidR="004C1CB7">
        <w:t xml:space="preserve">same </w:t>
      </w:r>
      <w:r w:rsidR="00C237FB">
        <w:t xml:space="preserve">Ontario Court of Appeal </w:t>
      </w:r>
      <w:r w:rsidR="00D14AB2">
        <w:t xml:space="preserve">rejected </w:t>
      </w:r>
      <w:r w:rsidR="00DD35C8">
        <w:t>a</w:t>
      </w:r>
      <w:r w:rsidR="00D14AB2">
        <w:t xml:space="preserve"> claim </w:t>
      </w:r>
      <w:r w:rsidR="00DD35C8">
        <w:t>on</w:t>
      </w:r>
      <w:r w:rsidR="00C237FB">
        <w:t xml:space="preserve"> an alleged oral agreement</w:t>
      </w:r>
      <w:r w:rsidR="00DA5488">
        <w:t xml:space="preserve"> </w:t>
      </w:r>
      <w:r w:rsidR="00DD35C8">
        <w:t xml:space="preserve">that </w:t>
      </w:r>
      <w:r w:rsidR="0089436D">
        <w:t>pre-dat</w:t>
      </w:r>
      <w:r w:rsidR="00DD35C8">
        <w:t>ed</w:t>
      </w:r>
      <w:r w:rsidR="0089436D">
        <w:t xml:space="preserve"> </w:t>
      </w:r>
      <w:r w:rsidR="00DB009A">
        <w:t>a</w:t>
      </w:r>
      <w:r w:rsidR="0089436D">
        <w:t xml:space="preserve"> written contract </w:t>
      </w:r>
      <w:r w:rsidR="00DB009A">
        <w:t>with an entire agreement clause</w:t>
      </w:r>
      <w:r w:rsidR="0098569B">
        <w:t>. The clause</w:t>
      </w:r>
      <w:r w:rsidR="00E23C57">
        <w:t xml:space="preserve"> stated </w:t>
      </w:r>
      <w:r w:rsidR="0098569B">
        <w:t xml:space="preserve">that </w:t>
      </w:r>
      <w:r w:rsidR="00E23C57">
        <w:t>the written contract superseded “any and all prior negotiations, understandings and agreements, written or oral.”</w:t>
      </w:r>
      <w:r w:rsidR="00501592">
        <w:t xml:space="preserve"> The court </w:t>
      </w:r>
      <w:r w:rsidR="00543BBF">
        <w:t>concluded</w:t>
      </w:r>
      <w:r w:rsidR="00501592">
        <w:t xml:space="preserve"> that that </w:t>
      </w:r>
      <w:r w:rsidR="00543BBF">
        <w:t xml:space="preserve">the </w:t>
      </w:r>
      <w:r w:rsidR="00501592">
        <w:t>oral agreement, even if proven, could not survive the entire agreement clause.</w:t>
      </w:r>
      <w:r w:rsidR="00E23C57">
        <w:rPr>
          <w:rStyle w:val="FootnoteReference"/>
        </w:rPr>
        <w:footnoteReference w:id="14"/>
      </w:r>
      <w:r w:rsidR="0098569B">
        <w:t xml:space="preserve"> </w:t>
      </w:r>
    </w:p>
    <w:p w14:paraId="783E1BBE" w14:textId="219C69BE" w:rsidR="00645EC1" w:rsidRPr="00004BCC" w:rsidRDefault="00EF34FB" w:rsidP="0040685F">
      <w:pPr>
        <w:rPr>
          <w:szCs w:val="24"/>
          <w:lang w:eastAsia="en-CA"/>
        </w:rPr>
      </w:pPr>
      <w:r>
        <w:rPr>
          <w:szCs w:val="24"/>
          <w:lang w:val="en-CA"/>
        </w:rPr>
        <w:lastRenderedPageBreak/>
        <w:t>The c</w:t>
      </w:r>
      <w:r w:rsidR="00004BCC" w:rsidRPr="00004BCC">
        <w:rPr>
          <w:szCs w:val="24"/>
          <w:lang w:val="en-CA"/>
        </w:rPr>
        <w:t xml:space="preserve">ourt in </w:t>
      </w:r>
      <w:r w:rsidR="00004BCC" w:rsidRPr="00004BCC">
        <w:rPr>
          <w:i/>
          <w:szCs w:val="24"/>
          <w:lang w:val="en-CA"/>
        </w:rPr>
        <w:t xml:space="preserve">175 Ontario </w:t>
      </w:r>
      <w:r w:rsidR="00642FF8">
        <w:rPr>
          <w:szCs w:val="24"/>
          <w:lang w:val="en-CA"/>
        </w:rPr>
        <w:t xml:space="preserve">did not reference </w:t>
      </w:r>
      <w:r w:rsidR="00642FF8">
        <w:rPr>
          <w:i/>
          <w:szCs w:val="24"/>
          <w:lang w:val="en-CA"/>
        </w:rPr>
        <w:t>Gutierrez</w:t>
      </w:r>
      <w:r w:rsidR="00004BCC" w:rsidRPr="00004BCC">
        <w:rPr>
          <w:szCs w:val="24"/>
          <w:lang w:val="en-CA"/>
        </w:rPr>
        <w:t xml:space="preserve">. It also </w:t>
      </w:r>
      <w:r w:rsidR="00004BCC" w:rsidRPr="00004BCC">
        <w:rPr>
          <w:szCs w:val="24"/>
          <w:lang w:eastAsia="en-CA"/>
        </w:rPr>
        <w:t xml:space="preserve">cited no precedent for enforcing an oral </w:t>
      </w:r>
      <w:r w:rsidR="00162F9D">
        <w:rPr>
          <w:szCs w:val="24"/>
          <w:lang w:eastAsia="en-CA"/>
        </w:rPr>
        <w:t>contract</w:t>
      </w:r>
      <w:r w:rsidR="00004BCC" w:rsidRPr="00004BCC">
        <w:rPr>
          <w:szCs w:val="24"/>
          <w:lang w:eastAsia="en-CA"/>
        </w:rPr>
        <w:t xml:space="preserve"> that </w:t>
      </w:r>
      <w:r w:rsidR="00004BCC" w:rsidRPr="00C4038F">
        <w:rPr>
          <w:i/>
          <w:szCs w:val="24"/>
          <w:lang w:eastAsia="en-CA"/>
        </w:rPr>
        <w:t>preceded</w:t>
      </w:r>
      <w:r w:rsidR="00004BCC" w:rsidRPr="00004BCC">
        <w:rPr>
          <w:szCs w:val="24"/>
          <w:lang w:eastAsia="en-CA"/>
        </w:rPr>
        <w:t xml:space="preserve"> a written contract with a clause</w:t>
      </w:r>
      <w:r>
        <w:rPr>
          <w:szCs w:val="24"/>
          <w:lang w:eastAsia="en-CA"/>
        </w:rPr>
        <w:t xml:space="preserve"> purporting to terminate </w:t>
      </w:r>
      <w:r w:rsidR="0067174F">
        <w:rPr>
          <w:szCs w:val="24"/>
          <w:lang w:eastAsia="en-CA"/>
        </w:rPr>
        <w:t xml:space="preserve">all </w:t>
      </w:r>
      <w:r>
        <w:rPr>
          <w:szCs w:val="24"/>
          <w:lang w:eastAsia="en-CA"/>
        </w:rPr>
        <w:t>prior ag</w:t>
      </w:r>
      <w:r w:rsidR="000A1942">
        <w:rPr>
          <w:szCs w:val="24"/>
          <w:lang w:eastAsia="en-CA"/>
        </w:rPr>
        <w:t>r</w:t>
      </w:r>
      <w:r>
        <w:rPr>
          <w:szCs w:val="24"/>
          <w:lang w:eastAsia="en-CA"/>
        </w:rPr>
        <w:t>eements</w:t>
      </w:r>
      <w:r w:rsidR="00004BCC" w:rsidRPr="00004BCC">
        <w:rPr>
          <w:szCs w:val="24"/>
          <w:lang w:eastAsia="en-CA"/>
        </w:rPr>
        <w:t>.</w:t>
      </w:r>
      <w:r w:rsidR="00004BCC" w:rsidRPr="00004BCC">
        <w:rPr>
          <w:szCs w:val="24"/>
          <w:lang w:val="en-CA"/>
        </w:rPr>
        <w:t xml:space="preserve">The </w:t>
      </w:r>
      <w:r>
        <w:rPr>
          <w:szCs w:val="24"/>
          <w:lang w:val="en-CA"/>
        </w:rPr>
        <w:t>c</w:t>
      </w:r>
      <w:r w:rsidR="003504E7" w:rsidRPr="00004BCC">
        <w:rPr>
          <w:szCs w:val="24"/>
          <w:lang w:val="en-CA"/>
        </w:rPr>
        <w:t xml:space="preserve">ourt in </w:t>
      </w:r>
      <w:r w:rsidR="003504E7" w:rsidRPr="00004BCC">
        <w:rPr>
          <w:i/>
          <w:szCs w:val="24"/>
          <w:lang w:val="en-CA"/>
        </w:rPr>
        <w:t>175</w:t>
      </w:r>
      <w:r w:rsidR="000B48F7" w:rsidRPr="00004BCC">
        <w:rPr>
          <w:i/>
          <w:szCs w:val="24"/>
          <w:lang w:val="en-CA"/>
        </w:rPr>
        <w:t xml:space="preserve"> </w:t>
      </w:r>
      <w:r w:rsidR="00004BCC" w:rsidRPr="00004BCC">
        <w:rPr>
          <w:i/>
          <w:szCs w:val="24"/>
          <w:lang w:val="en-CA"/>
        </w:rPr>
        <w:t xml:space="preserve">Ontario </w:t>
      </w:r>
      <w:r w:rsidR="00756759">
        <w:rPr>
          <w:szCs w:val="24"/>
          <w:lang w:val="en-CA"/>
        </w:rPr>
        <w:t xml:space="preserve">instead </w:t>
      </w:r>
      <w:r w:rsidR="00004BCC" w:rsidRPr="00004BCC">
        <w:rPr>
          <w:szCs w:val="24"/>
          <w:lang w:val="en-CA"/>
        </w:rPr>
        <w:t>r</w:t>
      </w:r>
      <w:r w:rsidR="00004BCC" w:rsidRPr="00004BCC">
        <w:rPr>
          <w:szCs w:val="24"/>
          <w:lang w:eastAsia="en-CA"/>
        </w:rPr>
        <w:t xml:space="preserve">elied on </w:t>
      </w:r>
      <w:r w:rsidR="000A1942">
        <w:rPr>
          <w:szCs w:val="24"/>
          <w:lang w:eastAsia="en-CA"/>
        </w:rPr>
        <w:t xml:space="preserve">the parties’ conduct being consistent with the oral </w:t>
      </w:r>
      <w:r w:rsidR="00162F9D">
        <w:rPr>
          <w:szCs w:val="24"/>
          <w:lang w:eastAsia="en-CA"/>
        </w:rPr>
        <w:t>contract</w:t>
      </w:r>
      <w:r w:rsidR="00375959">
        <w:rPr>
          <w:szCs w:val="24"/>
          <w:lang w:eastAsia="en-CA"/>
        </w:rPr>
        <w:t>,</w:t>
      </w:r>
      <w:r w:rsidR="000A1942">
        <w:rPr>
          <w:rStyle w:val="FootnoteReference"/>
          <w:szCs w:val="24"/>
          <w:lang w:eastAsia="en-CA"/>
        </w:rPr>
        <w:footnoteReference w:id="15"/>
      </w:r>
      <w:r w:rsidR="000A1942">
        <w:rPr>
          <w:szCs w:val="24"/>
          <w:lang w:eastAsia="en-CA"/>
        </w:rPr>
        <w:t xml:space="preserve"> and </w:t>
      </w:r>
      <w:proofErr w:type="spellStart"/>
      <w:r w:rsidR="00004BCC" w:rsidRPr="00004BCC">
        <w:rPr>
          <w:szCs w:val="24"/>
          <w:lang w:eastAsia="en-CA"/>
        </w:rPr>
        <w:t>caselaw</w:t>
      </w:r>
      <w:proofErr w:type="spellEnd"/>
      <w:r w:rsidR="00004BCC" w:rsidRPr="00004BCC">
        <w:rPr>
          <w:szCs w:val="24"/>
          <w:lang w:eastAsia="en-CA"/>
        </w:rPr>
        <w:t xml:space="preserve"> concerning exclusion clauses and p</w:t>
      </w:r>
      <w:r w:rsidR="00756759">
        <w:rPr>
          <w:szCs w:val="24"/>
          <w:lang w:eastAsia="en-CA"/>
        </w:rPr>
        <w:t>re-co</w:t>
      </w:r>
      <w:r>
        <w:rPr>
          <w:szCs w:val="24"/>
          <w:lang w:eastAsia="en-CA"/>
        </w:rPr>
        <w:t>ntractual representations. The c</w:t>
      </w:r>
      <w:r w:rsidR="00756759">
        <w:rPr>
          <w:szCs w:val="24"/>
          <w:lang w:eastAsia="en-CA"/>
        </w:rPr>
        <w:t xml:space="preserve">ourt </w:t>
      </w:r>
      <w:r w:rsidR="00004BCC" w:rsidRPr="00004BCC">
        <w:rPr>
          <w:szCs w:val="24"/>
          <w:lang w:eastAsia="en-CA"/>
        </w:rPr>
        <w:t>deemed</w:t>
      </w:r>
      <w:r w:rsidR="000B48F7" w:rsidRPr="00004BCC">
        <w:rPr>
          <w:szCs w:val="24"/>
          <w:lang w:val="en-CA"/>
        </w:rPr>
        <w:t xml:space="preserve"> </w:t>
      </w:r>
      <w:r>
        <w:rPr>
          <w:szCs w:val="24"/>
          <w:lang w:val="en-CA"/>
        </w:rPr>
        <w:t xml:space="preserve">the </w:t>
      </w:r>
      <w:r w:rsidR="0067174F">
        <w:rPr>
          <w:szCs w:val="24"/>
          <w:lang w:val="en-CA"/>
        </w:rPr>
        <w:t>exclusion</w:t>
      </w:r>
      <w:r w:rsidR="000B48F7" w:rsidRPr="00004BCC">
        <w:rPr>
          <w:szCs w:val="24"/>
          <w:lang w:val="en-CA"/>
        </w:rPr>
        <w:t xml:space="preserve"> clause unenforceable because </w:t>
      </w:r>
      <w:r w:rsidR="00C4038F">
        <w:rPr>
          <w:szCs w:val="24"/>
          <w:lang w:val="en-CA"/>
        </w:rPr>
        <w:t xml:space="preserve">the defendant did not bring it </w:t>
      </w:r>
      <w:r w:rsidR="000B48F7" w:rsidRPr="00004BCC">
        <w:rPr>
          <w:szCs w:val="24"/>
          <w:lang w:val="en-CA"/>
        </w:rPr>
        <w:t>to</w:t>
      </w:r>
      <w:r w:rsidR="00004BCC" w:rsidRPr="00004BCC">
        <w:rPr>
          <w:szCs w:val="24"/>
          <w:lang w:val="en-CA"/>
        </w:rPr>
        <w:t xml:space="preserve"> the plaintiff’s attention.</w:t>
      </w:r>
      <w:r w:rsidR="00004BCC" w:rsidRPr="00004BCC">
        <w:rPr>
          <w:rStyle w:val="FootnoteReference"/>
          <w:szCs w:val="24"/>
          <w:lang w:eastAsia="en-CA"/>
        </w:rPr>
        <w:footnoteReference w:id="16"/>
      </w:r>
      <w:r w:rsidR="00004BCC" w:rsidRPr="00004BCC">
        <w:rPr>
          <w:szCs w:val="24"/>
          <w:lang w:eastAsia="en-CA"/>
        </w:rPr>
        <w:t xml:space="preserve"> </w:t>
      </w:r>
    </w:p>
    <w:p w14:paraId="600A0D7A" w14:textId="3A86FB1D" w:rsidR="002A5A85" w:rsidRDefault="001D672F" w:rsidP="0040685F">
      <w:pPr>
        <w:rPr>
          <w:szCs w:val="24"/>
        </w:rPr>
      </w:pPr>
      <w:r>
        <w:rPr>
          <w:szCs w:val="24"/>
        </w:rPr>
        <w:t xml:space="preserve">The </w:t>
      </w:r>
      <w:r w:rsidR="00723A34">
        <w:rPr>
          <w:szCs w:val="24"/>
        </w:rPr>
        <w:t>importance of</w:t>
      </w:r>
      <w:r>
        <w:rPr>
          <w:szCs w:val="24"/>
        </w:rPr>
        <w:t xml:space="preserve"> specifically </w:t>
      </w:r>
      <w:r w:rsidR="00723A34">
        <w:rPr>
          <w:szCs w:val="24"/>
        </w:rPr>
        <w:t xml:space="preserve">adverting to onerous clauses is </w:t>
      </w:r>
      <w:r w:rsidR="00DB78BD">
        <w:rPr>
          <w:szCs w:val="24"/>
        </w:rPr>
        <w:t>well known</w:t>
      </w:r>
      <w:r w:rsidR="00723A34">
        <w:rPr>
          <w:szCs w:val="24"/>
        </w:rPr>
        <w:t>.</w:t>
      </w:r>
      <w:r w:rsidR="00BA72C7">
        <w:rPr>
          <w:szCs w:val="24"/>
        </w:rPr>
        <w:t xml:space="preserve"> C</w:t>
      </w:r>
      <w:r w:rsidR="00C4038F">
        <w:rPr>
          <w:szCs w:val="24"/>
        </w:rPr>
        <w:t xml:space="preserve">ourts have </w:t>
      </w:r>
      <w:r w:rsidR="00977B39">
        <w:rPr>
          <w:szCs w:val="24"/>
        </w:rPr>
        <w:t>also</w:t>
      </w:r>
      <w:r w:rsidR="0019027C">
        <w:rPr>
          <w:szCs w:val="24"/>
        </w:rPr>
        <w:t xml:space="preserve"> r</w:t>
      </w:r>
      <w:r w:rsidR="00C4038F">
        <w:rPr>
          <w:szCs w:val="24"/>
        </w:rPr>
        <w:t>ecognized</w:t>
      </w:r>
      <w:r w:rsidR="0084083F" w:rsidRPr="00004BCC">
        <w:rPr>
          <w:szCs w:val="24"/>
        </w:rPr>
        <w:t xml:space="preserve"> that</w:t>
      </w:r>
      <w:r w:rsidR="0019027C">
        <w:rPr>
          <w:szCs w:val="24"/>
        </w:rPr>
        <w:t xml:space="preserve"> an entire agreement clause does not preclude </w:t>
      </w:r>
      <w:r w:rsidR="0084083F" w:rsidRPr="00004BCC">
        <w:rPr>
          <w:szCs w:val="24"/>
        </w:rPr>
        <w:t xml:space="preserve">the </w:t>
      </w:r>
      <w:proofErr w:type="spellStart"/>
      <w:r w:rsidR="0084083F" w:rsidRPr="00924A37">
        <w:rPr>
          <w:i/>
          <w:szCs w:val="24"/>
        </w:rPr>
        <w:t>defence</w:t>
      </w:r>
      <w:proofErr w:type="spellEnd"/>
      <w:r w:rsidR="0084083F" w:rsidRPr="00004BCC">
        <w:rPr>
          <w:szCs w:val="24"/>
        </w:rPr>
        <w:t xml:space="preserve"> of</w:t>
      </w:r>
      <w:r w:rsidR="00235F79" w:rsidRPr="00004BCC">
        <w:rPr>
          <w:szCs w:val="24"/>
        </w:rPr>
        <w:t xml:space="preserve"> </w:t>
      </w:r>
      <w:r w:rsidR="0084083F" w:rsidRPr="00004BCC">
        <w:rPr>
          <w:szCs w:val="24"/>
        </w:rPr>
        <w:t>misrepresentation.</w:t>
      </w:r>
      <w:r w:rsidR="0084083F" w:rsidRPr="00004BCC">
        <w:rPr>
          <w:rStyle w:val="FootnoteReference"/>
          <w:szCs w:val="24"/>
        </w:rPr>
        <w:footnoteReference w:id="17"/>
      </w:r>
      <w:r w:rsidR="0019027C">
        <w:rPr>
          <w:szCs w:val="24"/>
        </w:rPr>
        <w:t xml:space="preserve"> However, it is a further step to </w:t>
      </w:r>
      <w:r w:rsidR="00F15F12" w:rsidRPr="00202D62">
        <w:rPr>
          <w:i/>
          <w:szCs w:val="24"/>
        </w:rPr>
        <w:t>enforce</w:t>
      </w:r>
      <w:r w:rsidR="00F15F12" w:rsidRPr="00004BCC">
        <w:rPr>
          <w:szCs w:val="24"/>
        </w:rPr>
        <w:t xml:space="preserve"> a</w:t>
      </w:r>
      <w:r w:rsidR="00C4038F">
        <w:rPr>
          <w:szCs w:val="24"/>
        </w:rPr>
        <w:t xml:space="preserve">n oral contract </w:t>
      </w:r>
      <w:r w:rsidR="0019027C">
        <w:rPr>
          <w:szCs w:val="24"/>
        </w:rPr>
        <w:t xml:space="preserve">despite </w:t>
      </w:r>
      <w:r w:rsidR="00C4038F">
        <w:rPr>
          <w:szCs w:val="24"/>
        </w:rPr>
        <w:t xml:space="preserve">a </w:t>
      </w:r>
      <w:r w:rsidR="00C4038F" w:rsidRPr="00CD1172">
        <w:rPr>
          <w:i/>
          <w:iCs/>
          <w:szCs w:val="24"/>
        </w:rPr>
        <w:t>subsequent</w:t>
      </w:r>
      <w:r w:rsidR="00F15F12" w:rsidRPr="00004BCC">
        <w:rPr>
          <w:szCs w:val="24"/>
        </w:rPr>
        <w:t xml:space="preserve"> </w:t>
      </w:r>
      <w:r w:rsidR="001B1A27">
        <w:rPr>
          <w:szCs w:val="24"/>
        </w:rPr>
        <w:t>exclusion</w:t>
      </w:r>
      <w:r w:rsidR="00F15F12" w:rsidRPr="00004BCC">
        <w:rPr>
          <w:szCs w:val="24"/>
        </w:rPr>
        <w:t xml:space="preserve"> clause that explicitly s</w:t>
      </w:r>
      <w:r w:rsidR="007B3475">
        <w:rPr>
          <w:szCs w:val="24"/>
        </w:rPr>
        <w:t xml:space="preserve">ought </w:t>
      </w:r>
      <w:r w:rsidR="00EF34FB">
        <w:rPr>
          <w:szCs w:val="24"/>
        </w:rPr>
        <w:t>to terminate all</w:t>
      </w:r>
      <w:r w:rsidR="00F15F12" w:rsidRPr="00004BCC">
        <w:rPr>
          <w:szCs w:val="24"/>
        </w:rPr>
        <w:t xml:space="preserve"> </w:t>
      </w:r>
      <w:r w:rsidR="00C4038F">
        <w:rPr>
          <w:szCs w:val="24"/>
        </w:rPr>
        <w:t>prior</w:t>
      </w:r>
      <w:r w:rsidR="00F15F12" w:rsidRPr="00004BCC">
        <w:rPr>
          <w:szCs w:val="24"/>
        </w:rPr>
        <w:t xml:space="preserve"> contracts. </w:t>
      </w:r>
    </w:p>
    <w:p w14:paraId="20D4EA57" w14:textId="66BD5469" w:rsidR="00D311F9" w:rsidRDefault="00645EC1" w:rsidP="0040685F">
      <w:pPr>
        <w:rPr>
          <w:szCs w:val="24"/>
          <w:lang w:val="en-CA"/>
        </w:rPr>
      </w:pPr>
      <w:r>
        <w:rPr>
          <w:szCs w:val="24"/>
        </w:rPr>
        <w:t xml:space="preserve">Though the outcomes in </w:t>
      </w:r>
      <w:r>
        <w:rPr>
          <w:i/>
          <w:szCs w:val="24"/>
        </w:rPr>
        <w:t xml:space="preserve">Gutierrez </w:t>
      </w:r>
      <w:r>
        <w:rPr>
          <w:szCs w:val="24"/>
        </w:rPr>
        <w:t xml:space="preserve">and </w:t>
      </w:r>
      <w:r>
        <w:rPr>
          <w:i/>
          <w:szCs w:val="24"/>
        </w:rPr>
        <w:t>175 Ontario</w:t>
      </w:r>
      <w:r>
        <w:rPr>
          <w:szCs w:val="24"/>
        </w:rPr>
        <w:t xml:space="preserve"> appear inconsistent at first blush, they can b</w:t>
      </w:r>
      <w:r w:rsidR="00255CB0">
        <w:rPr>
          <w:szCs w:val="24"/>
        </w:rPr>
        <w:t xml:space="preserve">e reconciled by reference to how </w:t>
      </w:r>
      <w:r w:rsidR="000A7F7A">
        <w:rPr>
          <w:szCs w:val="24"/>
        </w:rPr>
        <w:t>the presiding courts received the</w:t>
      </w:r>
      <w:r w:rsidR="00255CB0">
        <w:rPr>
          <w:szCs w:val="24"/>
        </w:rPr>
        <w:t xml:space="preserve"> evidence. </w:t>
      </w:r>
      <w:r w:rsidR="00D311F9">
        <w:rPr>
          <w:szCs w:val="24"/>
        </w:rPr>
        <w:t xml:space="preserve">Put simply, the </w:t>
      </w:r>
      <w:r w:rsidR="00D311F9">
        <w:rPr>
          <w:i/>
          <w:szCs w:val="24"/>
        </w:rPr>
        <w:t xml:space="preserve">175 Ontario </w:t>
      </w:r>
      <w:r w:rsidR="00D311F9">
        <w:rPr>
          <w:szCs w:val="24"/>
        </w:rPr>
        <w:t xml:space="preserve">Court accepted that the oral agreement expressed the parties’ intentions and that the </w:t>
      </w:r>
      <w:r w:rsidR="00D311F9">
        <w:rPr>
          <w:szCs w:val="24"/>
        </w:rPr>
        <w:lastRenderedPageBreak/>
        <w:t xml:space="preserve">subsequent shareholders agreement did not. </w:t>
      </w:r>
      <w:r w:rsidR="00D311F9" w:rsidRPr="00004BCC">
        <w:rPr>
          <w:szCs w:val="24"/>
          <w:lang w:val="en-CA"/>
        </w:rPr>
        <w:t>The Court</w:t>
      </w:r>
      <w:r w:rsidR="000978A5">
        <w:rPr>
          <w:szCs w:val="24"/>
          <w:lang w:val="en-CA"/>
        </w:rPr>
        <w:t xml:space="preserve"> of Appeal</w:t>
      </w:r>
      <w:r w:rsidR="00D311F9" w:rsidRPr="00004BCC">
        <w:rPr>
          <w:szCs w:val="24"/>
          <w:lang w:val="en-CA"/>
        </w:rPr>
        <w:t xml:space="preserve"> </w:t>
      </w:r>
      <w:r w:rsidR="00D311F9">
        <w:rPr>
          <w:szCs w:val="24"/>
          <w:lang w:val="en-CA"/>
        </w:rPr>
        <w:t xml:space="preserve">specifically noted </w:t>
      </w:r>
      <w:r w:rsidR="00D311F9" w:rsidRPr="00004BCC">
        <w:rPr>
          <w:szCs w:val="24"/>
          <w:lang w:val="en-CA"/>
        </w:rPr>
        <w:t xml:space="preserve">the plaintiff’s lack of sophistication and limited knowledge of English, the language </w:t>
      </w:r>
      <w:r w:rsidR="00F239B3">
        <w:rPr>
          <w:szCs w:val="24"/>
          <w:lang w:val="en-CA"/>
        </w:rPr>
        <w:t xml:space="preserve">in which the </w:t>
      </w:r>
      <w:r w:rsidR="00D311F9" w:rsidRPr="00004BCC">
        <w:rPr>
          <w:szCs w:val="24"/>
          <w:lang w:val="en-CA"/>
        </w:rPr>
        <w:t>shareholders agreement</w:t>
      </w:r>
      <w:r w:rsidR="00F239B3">
        <w:rPr>
          <w:szCs w:val="24"/>
          <w:lang w:val="en-CA"/>
        </w:rPr>
        <w:t xml:space="preserve"> was written</w:t>
      </w:r>
      <w:r w:rsidR="00D311F9" w:rsidRPr="00004BCC">
        <w:rPr>
          <w:szCs w:val="24"/>
          <w:lang w:val="en-CA"/>
        </w:rPr>
        <w:t>.</w:t>
      </w:r>
      <w:r w:rsidR="00D311F9" w:rsidRPr="00004BCC">
        <w:rPr>
          <w:rStyle w:val="FootnoteReference"/>
          <w:szCs w:val="24"/>
          <w:lang w:val="en-CA"/>
        </w:rPr>
        <w:footnoteReference w:id="18"/>
      </w:r>
      <w:r w:rsidR="00D311F9">
        <w:rPr>
          <w:szCs w:val="24"/>
          <w:lang w:val="en-CA"/>
        </w:rPr>
        <w:t xml:space="preserve"> </w:t>
      </w:r>
    </w:p>
    <w:p w14:paraId="21F9F1D0" w14:textId="7DE56936" w:rsidR="00255CB0" w:rsidRPr="00D311F9" w:rsidRDefault="00D311F9" w:rsidP="0040685F">
      <w:pPr>
        <w:rPr>
          <w:szCs w:val="24"/>
          <w:lang w:val="en-CA"/>
        </w:rPr>
      </w:pPr>
      <w:r>
        <w:rPr>
          <w:szCs w:val="24"/>
        </w:rPr>
        <w:t>In contrast</w:t>
      </w:r>
      <w:r w:rsidR="00255CB0">
        <w:rPr>
          <w:szCs w:val="24"/>
        </w:rPr>
        <w:t xml:space="preserve">, the judges hearing </w:t>
      </w:r>
      <w:r w:rsidR="00255CB0">
        <w:rPr>
          <w:i/>
          <w:szCs w:val="24"/>
        </w:rPr>
        <w:t>Gutierrez</w:t>
      </w:r>
      <w:r w:rsidR="0019027C">
        <w:rPr>
          <w:szCs w:val="24"/>
        </w:rPr>
        <w:t xml:space="preserve"> were</w:t>
      </w:r>
      <w:r w:rsidR="00255CB0">
        <w:rPr>
          <w:szCs w:val="24"/>
        </w:rPr>
        <w:t xml:space="preserve"> skeptical of the oral agreement the </w:t>
      </w:r>
      <w:r w:rsidR="00555CC3">
        <w:rPr>
          <w:szCs w:val="24"/>
        </w:rPr>
        <w:t xml:space="preserve">appellant </w:t>
      </w:r>
      <w:r w:rsidR="00255CB0">
        <w:rPr>
          <w:szCs w:val="24"/>
        </w:rPr>
        <w:t>advance</w:t>
      </w:r>
      <w:r w:rsidR="00555CC3">
        <w:rPr>
          <w:szCs w:val="24"/>
        </w:rPr>
        <w:t>d</w:t>
      </w:r>
      <w:r w:rsidR="00255CB0">
        <w:rPr>
          <w:szCs w:val="24"/>
        </w:rPr>
        <w:t>. They did not accept that the alleged oral agreement reflected the parties’ intentions.</w:t>
      </w:r>
      <w:r w:rsidR="005A674A">
        <w:rPr>
          <w:rStyle w:val="FootnoteReference"/>
          <w:szCs w:val="24"/>
        </w:rPr>
        <w:footnoteReference w:id="19"/>
      </w:r>
      <w:r w:rsidR="00255CB0">
        <w:rPr>
          <w:szCs w:val="24"/>
        </w:rPr>
        <w:t xml:space="preserve"> </w:t>
      </w:r>
      <w:r w:rsidR="00555CC3">
        <w:rPr>
          <w:szCs w:val="24"/>
        </w:rPr>
        <w:t>Alt</w:t>
      </w:r>
      <w:r>
        <w:rPr>
          <w:szCs w:val="24"/>
        </w:rPr>
        <w:t xml:space="preserve">hough the </w:t>
      </w:r>
      <w:r w:rsidR="0019027C">
        <w:rPr>
          <w:szCs w:val="24"/>
        </w:rPr>
        <w:t xml:space="preserve">Court of Appeal in </w:t>
      </w:r>
      <w:r>
        <w:rPr>
          <w:i/>
          <w:szCs w:val="24"/>
        </w:rPr>
        <w:t xml:space="preserve">Gutierrez </w:t>
      </w:r>
      <w:r>
        <w:rPr>
          <w:szCs w:val="24"/>
        </w:rPr>
        <w:t xml:space="preserve">held that the written agreement would prevail in any event, courts commonly reference traditional “rules” to buttress their factual findings, as shown below. </w:t>
      </w:r>
    </w:p>
    <w:p w14:paraId="3480446C" w14:textId="29D6751B" w:rsidR="00E34429" w:rsidRPr="00E34429" w:rsidRDefault="00440EA3" w:rsidP="008F36F0">
      <w:pPr>
        <w:pStyle w:val="Heading2"/>
      </w:pPr>
      <w:bookmarkStart w:id="24" w:name="_Toc74812118"/>
      <w:r>
        <w:t>An e</w:t>
      </w:r>
      <w:r w:rsidR="00604D8E">
        <w:t xml:space="preserve">xclusion </w:t>
      </w:r>
      <w:r>
        <w:t xml:space="preserve">clause </w:t>
      </w:r>
      <w:r w:rsidR="00555CC3">
        <w:t>will</w:t>
      </w:r>
      <w:r w:rsidR="00604D8E">
        <w:t xml:space="preserve"> not</w:t>
      </w:r>
      <w:r>
        <w:t xml:space="preserve"> bar a later oral agreement</w:t>
      </w:r>
      <w:bookmarkEnd w:id="24"/>
      <w:r>
        <w:t xml:space="preserve"> </w:t>
      </w:r>
    </w:p>
    <w:p w14:paraId="05301781" w14:textId="29E11955" w:rsidR="00AD0DBB" w:rsidRPr="00555CC3" w:rsidRDefault="004C1CB7" w:rsidP="0040685F">
      <w:pPr>
        <w:rPr>
          <w:lang w:eastAsia="en-CA"/>
        </w:rPr>
      </w:pPr>
      <w:r>
        <w:rPr>
          <w:i/>
        </w:rPr>
        <w:t xml:space="preserve">175 Ontario </w:t>
      </w:r>
      <w:r>
        <w:t>is unique in that it enforced an oral agreement post-dating an</w:t>
      </w:r>
      <w:r w:rsidR="002E3BF6">
        <w:t xml:space="preserve"> </w:t>
      </w:r>
      <w:r w:rsidR="00604D8E">
        <w:t>exclusion</w:t>
      </w:r>
      <w:r>
        <w:t xml:space="preserve"> clau</w:t>
      </w:r>
      <w:r w:rsidR="00555CC3">
        <w:t>se that purported to nullify it. However,</w:t>
      </w:r>
      <w:r>
        <w:t xml:space="preserve"> the concept of disregarding </w:t>
      </w:r>
      <w:r w:rsidR="00604D8E">
        <w:t>exclusion</w:t>
      </w:r>
      <w:r>
        <w:t xml:space="preserve"> clauses is not novel. </w:t>
      </w:r>
      <w:r w:rsidR="00555CC3">
        <w:rPr>
          <w:lang w:eastAsia="en-CA"/>
        </w:rPr>
        <w:t xml:space="preserve">The established jurisprudence has focused on oral agreements </w:t>
      </w:r>
      <w:r w:rsidR="00555CC3">
        <w:rPr>
          <w:i/>
          <w:lang w:eastAsia="en-CA"/>
        </w:rPr>
        <w:t xml:space="preserve">post-dating </w:t>
      </w:r>
      <w:r w:rsidR="00555CC3">
        <w:rPr>
          <w:lang w:eastAsia="en-CA"/>
        </w:rPr>
        <w:t xml:space="preserve">written contracts </w:t>
      </w:r>
      <w:r w:rsidR="00ED76D8">
        <w:rPr>
          <w:lang w:eastAsia="en-CA"/>
        </w:rPr>
        <w:t xml:space="preserve">with </w:t>
      </w:r>
      <w:r w:rsidR="00555CC3">
        <w:rPr>
          <w:lang w:eastAsia="en-CA"/>
        </w:rPr>
        <w:t xml:space="preserve">entire agreement clauses. </w:t>
      </w:r>
    </w:p>
    <w:p w14:paraId="669424D8" w14:textId="5AFF8492" w:rsidR="005329AE" w:rsidRPr="004658D7" w:rsidRDefault="005329AE" w:rsidP="0040685F">
      <w:r>
        <w:rPr>
          <w:color w:val="000000"/>
          <w:shd w:val="clear" w:color="auto" w:fill="FFFFFF"/>
        </w:rPr>
        <w:t xml:space="preserve">In </w:t>
      </w:r>
      <w:proofErr w:type="spellStart"/>
      <w:r>
        <w:rPr>
          <w:i/>
          <w:color w:val="000000"/>
          <w:shd w:val="clear" w:color="auto" w:fill="FFFFFF"/>
        </w:rPr>
        <w:t>Soboczynski</w:t>
      </w:r>
      <w:proofErr w:type="spellEnd"/>
      <w:r>
        <w:rPr>
          <w:i/>
          <w:color w:val="000000"/>
          <w:shd w:val="clear" w:color="auto" w:fill="FFFFFF"/>
        </w:rPr>
        <w:t xml:space="preserve"> v</w:t>
      </w:r>
      <w:r w:rsidR="00EF34FB">
        <w:rPr>
          <w:i/>
          <w:color w:val="000000"/>
          <w:shd w:val="clear" w:color="auto" w:fill="FFFFFF"/>
        </w:rPr>
        <w:t>.</w:t>
      </w:r>
      <w:r>
        <w:rPr>
          <w:i/>
          <w:color w:val="000000"/>
          <w:shd w:val="clear" w:color="auto" w:fill="FFFFFF"/>
        </w:rPr>
        <w:t xml:space="preserve"> Beauchamp</w:t>
      </w:r>
      <w:r>
        <w:rPr>
          <w:color w:val="000000"/>
          <w:shd w:val="clear" w:color="auto" w:fill="FFFFFF"/>
        </w:rPr>
        <w:t>, the Ontario Court of Appeal found that a vendor could be liable for negligent misrepresentations made after the execution of an agreement of purchase and sale containing a</w:t>
      </w:r>
      <w:r w:rsidR="00525024">
        <w:rPr>
          <w:color w:val="000000"/>
          <w:shd w:val="clear" w:color="auto" w:fill="FFFFFF"/>
        </w:rPr>
        <w:t xml:space="preserve">n entire </w:t>
      </w:r>
      <w:r w:rsidR="00525024">
        <w:rPr>
          <w:color w:val="000000"/>
          <w:shd w:val="clear" w:color="auto" w:fill="FFFFFF"/>
        </w:rPr>
        <w:lastRenderedPageBreak/>
        <w:t xml:space="preserve">agreement clause. </w:t>
      </w:r>
      <w:r w:rsidR="003B450E">
        <w:rPr>
          <w:color w:val="000000"/>
          <w:shd w:val="clear" w:color="auto" w:fill="FFFFFF"/>
        </w:rPr>
        <w:t xml:space="preserve">Though the Court stated that the </w:t>
      </w:r>
      <w:r w:rsidR="003B450E" w:rsidRPr="001F2C44">
        <w:t xml:space="preserve">purpose of </w:t>
      </w:r>
      <w:r w:rsidR="003B450E">
        <w:t xml:space="preserve">any entire agreement clause </w:t>
      </w:r>
      <w:r w:rsidR="003B450E" w:rsidRPr="001F2C44">
        <w:t>is to “to lift and distill the parties' bargain from the muck of the negotiations…an</w:t>
      </w:r>
      <w:r w:rsidR="003B450E">
        <w:t>d provide certainty and clarity</w:t>
      </w:r>
      <w:r w:rsidR="003B450E" w:rsidRPr="001F2C44">
        <w:t>”</w:t>
      </w:r>
      <w:r w:rsidR="002B05A6">
        <w:t>,</w:t>
      </w:r>
      <w:r w:rsidR="003B450E">
        <w:t xml:space="preserve"> it nevertheless held that the </w:t>
      </w:r>
      <w:r w:rsidR="004658D7">
        <w:t xml:space="preserve">subject </w:t>
      </w:r>
      <w:r w:rsidR="003B450E">
        <w:t xml:space="preserve">clause </w:t>
      </w:r>
      <w:r w:rsidR="004658D7">
        <w:t xml:space="preserve">only </w:t>
      </w:r>
      <w:r>
        <w:rPr>
          <w:color w:val="000000"/>
          <w:shd w:val="clear" w:color="auto" w:fill="FFFFFF"/>
        </w:rPr>
        <w:t>operated retrospectively</w:t>
      </w:r>
      <w:r w:rsidR="00ED76D8">
        <w:rPr>
          <w:color w:val="000000"/>
          <w:shd w:val="clear" w:color="auto" w:fill="FFFFFF"/>
        </w:rPr>
        <w:t>,</w:t>
      </w:r>
      <w:r w:rsidR="009A7915">
        <w:rPr>
          <w:color w:val="000000"/>
          <w:shd w:val="clear" w:color="auto" w:fill="FFFFFF"/>
        </w:rPr>
        <w:t xml:space="preserve"> </w:t>
      </w:r>
      <w:r w:rsidR="003B450E">
        <w:rPr>
          <w:color w:val="000000"/>
          <w:shd w:val="clear" w:color="auto" w:fill="FFFFFF"/>
        </w:rPr>
        <w:t>and</w:t>
      </w:r>
      <w:r>
        <w:rPr>
          <w:color w:val="000000"/>
          <w:shd w:val="clear" w:color="auto" w:fill="FFFFFF"/>
        </w:rPr>
        <w:t xml:space="preserve"> was “spent” at the time of the misrepresentations.</w:t>
      </w:r>
      <w:r>
        <w:rPr>
          <w:rStyle w:val="FootnoteReference"/>
          <w:color w:val="000000"/>
          <w:shd w:val="clear" w:color="auto" w:fill="FFFFFF"/>
        </w:rPr>
        <w:footnoteReference w:id="20"/>
      </w:r>
      <w:r>
        <w:rPr>
          <w:color w:val="000000"/>
          <w:shd w:val="clear" w:color="auto" w:fill="FFFFFF"/>
        </w:rPr>
        <w:t xml:space="preserve"> </w:t>
      </w:r>
    </w:p>
    <w:p w14:paraId="3686EBB3" w14:textId="77777777" w:rsidR="00FF0BEE" w:rsidRDefault="005329AE" w:rsidP="0040685F">
      <w:pPr>
        <w:rPr>
          <w:bCs/>
          <w:color w:val="212529"/>
        </w:rPr>
      </w:pPr>
      <w:r>
        <w:rPr>
          <w:lang w:eastAsia="en-CA"/>
        </w:rPr>
        <w:t xml:space="preserve">The Court of </w:t>
      </w:r>
      <w:r w:rsidRPr="000C27FC">
        <w:rPr>
          <w:color w:val="000000" w:themeColor="text1"/>
        </w:rPr>
        <w:t xml:space="preserve">Appeal in </w:t>
      </w:r>
      <w:proofErr w:type="spellStart"/>
      <w:r w:rsidRPr="000C27FC">
        <w:rPr>
          <w:i/>
          <w:color w:val="000000" w:themeColor="text1"/>
          <w:shd w:val="clear" w:color="auto" w:fill="FFFFFF"/>
        </w:rPr>
        <w:t>Soboczynski</w:t>
      </w:r>
      <w:proofErr w:type="spellEnd"/>
      <w:r w:rsidRPr="000C27FC">
        <w:rPr>
          <w:i/>
          <w:color w:val="000000" w:themeColor="text1"/>
        </w:rPr>
        <w:t xml:space="preserve"> </w:t>
      </w:r>
      <w:r w:rsidRPr="000C27FC">
        <w:rPr>
          <w:color w:val="000000" w:themeColor="text1"/>
        </w:rPr>
        <w:t xml:space="preserve">followed its earlier </w:t>
      </w:r>
      <w:r w:rsidR="009871F3" w:rsidRPr="000C27FC">
        <w:rPr>
          <w:color w:val="000000" w:themeColor="text1"/>
        </w:rPr>
        <w:t xml:space="preserve">decision in </w:t>
      </w:r>
      <w:proofErr w:type="spellStart"/>
      <w:r w:rsidR="00E34429" w:rsidRPr="000C27FC">
        <w:rPr>
          <w:i/>
          <w:color w:val="000000" w:themeColor="text1"/>
        </w:rPr>
        <w:t>Shelanu</w:t>
      </w:r>
      <w:proofErr w:type="spellEnd"/>
      <w:r w:rsidR="00E34429" w:rsidRPr="000C27FC">
        <w:rPr>
          <w:i/>
          <w:color w:val="000000" w:themeColor="text1"/>
        </w:rPr>
        <w:t xml:space="preserve"> </w:t>
      </w:r>
      <w:r w:rsidR="00E809F5" w:rsidRPr="000C27FC">
        <w:rPr>
          <w:i/>
          <w:color w:val="000000" w:themeColor="text1"/>
        </w:rPr>
        <w:t>v</w:t>
      </w:r>
      <w:r w:rsidR="00EF34FB" w:rsidRPr="000C27FC">
        <w:rPr>
          <w:i/>
          <w:color w:val="000000" w:themeColor="text1"/>
        </w:rPr>
        <w:t>.</w:t>
      </w:r>
      <w:r w:rsidR="00E809F5" w:rsidRPr="000C27FC">
        <w:rPr>
          <w:i/>
          <w:color w:val="000000" w:themeColor="text1"/>
        </w:rPr>
        <w:t xml:space="preserve"> Print Three Franchisin</w:t>
      </w:r>
      <w:r w:rsidR="00157378" w:rsidRPr="000C27FC">
        <w:rPr>
          <w:i/>
          <w:color w:val="000000" w:themeColor="text1"/>
        </w:rPr>
        <w:t>g</w:t>
      </w:r>
      <w:r w:rsidR="00E34429" w:rsidRPr="000C27FC">
        <w:rPr>
          <w:color w:val="000000" w:themeColor="text1"/>
        </w:rPr>
        <w:t>,</w:t>
      </w:r>
      <w:r w:rsidR="009871F3" w:rsidRPr="000C27FC">
        <w:rPr>
          <w:color w:val="000000" w:themeColor="text1"/>
        </w:rPr>
        <w:t xml:space="preserve"> in which </w:t>
      </w:r>
      <w:r w:rsidR="002E1D21" w:rsidRPr="000C27FC">
        <w:rPr>
          <w:color w:val="000000" w:themeColor="text1"/>
        </w:rPr>
        <w:t>the court</w:t>
      </w:r>
      <w:r w:rsidR="00E34429" w:rsidRPr="000C27FC">
        <w:rPr>
          <w:color w:val="000000" w:themeColor="text1"/>
        </w:rPr>
        <w:t xml:space="preserve"> </w:t>
      </w:r>
      <w:r w:rsidR="00157378" w:rsidRPr="000C27FC">
        <w:rPr>
          <w:color w:val="000000" w:themeColor="text1"/>
        </w:rPr>
        <w:t xml:space="preserve">enforced an oral agreement </w:t>
      </w:r>
      <w:r w:rsidR="002E1D21" w:rsidRPr="000C27FC">
        <w:rPr>
          <w:color w:val="000000" w:themeColor="text1"/>
        </w:rPr>
        <w:t>for</w:t>
      </w:r>
      <w:r w:rsidR="006A4A93" w:rsidRPr="000C27FC">
        <w:rPr>
          <w:color w:val="000000" w:themeColor="text1"/>
        </w:rPr>
        <w:t xml:space="preserve"> royalty rebates </w:t>
      </w:r>
      <w:r w:rsidR="00157378" w:rsidRPr="000C27FC">
        <w:rPr>
          <w:color w:val="000000" w:themeColor="text1"/>
        </w:rPr>
        <w:t xml:space="preserve">despite an </w:t>
      </w:r>
      <w:r w:rsidR="00E34429" w:rsidRPr="000C27FC">
        <w:rPr>
          <w:color w:val="000000" w:themeColor="text1"/>
        </w:rPr>
        <w:t xml:space="preserve">entire agreement clause </w:t>
      </w:r>
      <w:r w:rsidR="00157378" w:rsidRPr="000C27FC">
        <w:rPr>
          <w:color w:val="000000" w:themeColor="text1"/>
        </w:rPr>
        <w:t>in a prior written franchise contract</w:t>
      </w:r>
      <w:r w:rsidR="003270DF" w:rsidRPr="000C27FC">
        <w:rPr>
          <w:color w:val="000000" w:themeColor="text1"/>
        </w:rPr>
        <w:t>. The clause stated that</w:t>
      </w:r>
      <w:r w:rsidR="00157378" w:rsidRPr="000C27FC">
        <w:rPr>
          <w:color w:val="000000" w:themeColor="text1"/>
        </w:rPr>
        <w:t xml:space="preserve"> t</w:t>
      </w:r>
      <w:r w:rsidR="002E1D21" w:rsidRPr="000C27FC">
        <w:rPr>
          <w:color w:val="000000" w:themeColor="text1"/>
        </w:rPr>
        <w:t>he</w:t>
      </w:r>
      <w:r w:rsidR="00157378" w:rsidRPr="000C27FC">
        <w:rPr>
          <w:color w:val="000000" w:themeColor="text1"/>
        </w:rPr>
        <w:t xml:space="preserve"> written contract</w:t>
      </w:r>
      <w:r w:rsidR="00E34429" w:rsidRPr="000C27FC">
        <w:rPr>
          <w:color w:val="000000" w:themeColor="text1"/>
        </w:rPr>
        <w:t xml:space="preserve"> “constitutes the entire agreement with</w:t>
      </w:r>
      <w:r w:rsidR="003270DF" w:rsidRPr="000C27FC">
        <w:rPr>
          <w:color w:val="000000" w:themeColor="text1"/>
        </w:rPr>
        <w:t xml:space="preserve"> respect to all matters herein” and </w:t>
      </w:r>
      <w:r w:rsidR="003270DF" w:rsidRPr="000C27FC">
        <w:rPr>
          <w:color w:val="000000" w:themeColor="text1"/>
          <w:shd w:val="clear" w:color="auto" w:fill="FFFFFF"/>
        </w:rPr>
        <w:t>that any other representations</w:t>
      </w:r>
      <w:r w:rsidR="00BA248A" w:rsidRPr="000C27FC">
        <w:rPr>
          <w:color w:val="000000" w:themeColor="text1"/>
          <w:shd w:val="clear" w:color="auto" w:fill="FFFFFF"/>
        </w:rPr>
        <w:t xml:space="preserve"> </w:t>
      </w:r>
      <w:r w:rsidR="00BA248A">
        <w:rPr>
          <w:color w:val="000000"/>
          <w:shd w:val="clear" w:color="auto" w:fill="FFFFFF"/>
        </w:rPr>
        <w:t xml:space="preserve">were of </w:t>
      </w:r>
      <w:r w:rsidR="003270DF">
        <w:rPr>
          <w:color w:val="000000"/>
          <w:shd w:val="clear" w:color="auto" w:fill="FFFFFF"/>
        </w:rPr>
        <w:t>no force or effect in the "construction of the rights and obligations of the parties created by this Agreement”.</w:t>
      </w:r>
      <w:r w:rsidR="003270DF">
        <w:rPr>
          <w:rStyle w:val="FootnoteReference"/>
          <w:color w:val="000000"/>
          <w:shd w:val="clear" w:color="auto" w:fill="FFFFFF"/>
        </w:rPr>
        <w:footnoteReference w:id="21"/>
      </w:r>
      <w:r w:rsidR="0022403E">
        <w:rPr>
          <w:bCs/>
          <w:color w:val="212529"/>
        </w:rPr>
        <w:t xml:space="preserve"> </w:t>
      </w:r>
    </w:p>
    <w:p w14:paraId="5C566F73" w14:textId="24EC88E4" w:rsidR="006D2DFD" w:rsidRPr="001141EF" w:rsidRDefault="007957CF" w:rsidP="0040685F">
      <w:r w:rsidRPr="000C27FC">
        <w:rPr>
          <w:color w:val="000000" w:themeColor="text1"/>
        </w:rPr>
        <w:t>The Court of Appeal</w:t>
      </w:r>
      <w:r w:rsidR="00D111E0" w:rsidRPr="000C27FC">
        <w:rPr>
          <w:color w:val="000000" w:themeColor="text1"/>
        </w:rPr>
        <w:t xml:space="preserve"> in </w:t>
      </w:r>
      <w:proofErr w:type="spellStart"/>
      <w:r w:rsidR="00D111E0" w:rsidRPr="000C27FC">
        <w:rPr>
          <w:i/>
          <w:color w:val="000000" w:themeColor="text1"/>
        </w:rPr>
        <w:t>Shelanu</w:t>
      </w:r>
      <w:proofErr w:type="spellEnd"/>
      <w:r w:rsidRPr="000C27FC">
        <w:rPr>
          <w:color w:val="000000" w:themeColor="text1"/>
        </w:rPr>
        <w:t xml:space="preserve"> accepted that an entire </w:t>
      </w:r>
      <w:r>
        <w:t xml:space="preserve">agreement clause does not </w:t>
      </w:r>
      <w:r w:rsidR="001141EF">
        <w:t>bar</w:t>
      </w:r>
      <w:r>
        <w:t xml:space="preserve"> subsequent agreement that modifies the contractual relationship.</w:t>
      </w:r>
      <w:r>
        <w:rPr>
          <w:rStyle w:val="FootnoteReference"/>
        </w:rPr>
        <w:footnoteReference w:id="22"/>
      </w:r>
      <w:r>
        <w:t xml:space="preserve"> </w:t>
      </w:r>
      <w:r w:rsidR="001141EF">
        <w:t xml:space="preserve">The Court </w:t>
      </w:r>
      <w:r w:rsidR="00F225F1">
        <w:t xml:space="preserve">of Appeal </w:t>
      </w:r>
      <w:r w:rsidR="001141EF">
        <w:t xml:space="preserve">further </w:t>
      </w:r>
      <w:r w:rsidR="003270DF">
        <w:rPr>
          <w:color w:val="000000"/>
          <w:shd w:val="clear" w:color="auto" w:fill="FFFFFF"/>
        </w:rPr>
        <w:t>held tha</w:t>
      </w:r>
      <w:r w:rsidR="002E1D21">
        <w:rPr>
          <w:color w:val="000000"/>
          <w:shd w:val="clear" w:color="auto" w:fill="FFFFFF"/>
        </w:rPr>
        <w:t xml:space="preserve">t the </w:t>
      </w:r>
      <w:r w:rsidR="001141EF">
        <w:rPr>
          <w:color w:val="000000"/>
          <w:shd w:val="clear" w:color="auto" w:fill="FFFFFF"/>
        </w:rPr>
        <w:t>subse</w:t>
      </w:r>
      <w:r w:rsidR="00A41483">
        <w:rPr>
          <w:color w:val="000000"/>
          <w:shd w:val="clear" w:color="auto" w:fill="FFFFFF"/>
        </w:rPr>
        <w:t xml:space="preserve">quent </w:t>
      </w:r>
      <w:r w:rsidR="002E1D21">
        <w:rPr>
          <w:color w:val="000000"/>
          <w:shd w:val="clear" w:color="auto" w:fill="FFFFFF"/>
        </w:rPr>
        <w:t xml:space="preserve">oral </w:t>
      </w:r>
      <w:r w:rsidR="002E1D21">
        <w:rPr>
          <w:color w:val="000000"/>
          <w:shd w:val="clear" w:color="auto" w:fill="FFFFFF"/>
        </w:rPr>
        <w:lastRenderedPageBreak/>
        <w:t>agreement for r</w:t>
      </w:r>
      <w:r w:rsidR="003270DF">
        <w:rPr>
          <w:color w:val="000000"/>
          <w:shd w:val="clear" w:color="auto" w:fill="FFFFFF"/>
        </w:rPr>
        <w:t xml:space="preserve">ebates </w:t>
      </w:r>
      <w:r w:rsidR="002E1D21">
        <w:rPr>
          <w:color w:val="000000"/>
          <w:shd w:val="clear" w:color="auto" w:fill="FFFFFF"/>
        </w:rPr>
        <w:t xml:space="preserve">did not qualify as </w:t>
      </w:r>
      <w:r w:rsidR="003270DF">
        <w:rPr>
          <w:color w:val="000000"/>
          <w:shd w:val="clear" w:color="auto" w:fill="FFFFFF"/>
        </w:rPr>
        <w:t xml:space="preserve">“matters herein” </w:t>
      </w:r>
      <w:r w:rsidR="006A4A93">
        <w:rPr>
          <w:color w:val="000000"/>
          <w:shd w:val="clear" w:color="auto" w:fill="FFFFFF"/>
        </w:rPr>
        <w:t xml:space="preserve">nor </w:t>
      </w:r>
      <w:r w:rsidR="002E1D21">
        <w:rPr>
          <w:color w:val="000000"/>
          <w:shd w:val="clear" w:color="auto" w:fill="FFFFFF"/>
        </w:rPr>
        <w:t xml:space="preserve">was it </w:t>
      </w:r>
      <w:r w:rsidR="006A4A93">
        <w:rPr>
          <w:color w:val="000000"/>
          <w:shd w:val="clear" w:color="auto" w:fill="FFFFFF"/>
        </w:rPr>
        <w:t>“created by” the written franchise agreement</w:t>
      </w:r>
      <w:r w:rsidR="00F03129">
        <w:rPr>
          <w:color w:val="000000"/>
          <w:shd w:val="clear" w:color="auto" w:fill="FFFFFF"/>
        </w:rPr>
        <w:t>.</w:t>
      </w:r>
      <w:r w:rsidR="0018594D">
        <w:rPr>
          <w:rStyle w:val="FootnoteReference"/>
          <w:color w:val="000000"/>
          <w:shd w:val="clear" w:color="auto" w:fill="FFFFFF"/>
        </w:rPr>
        <w:footnoteReference w:id="23"/>
      </w:r>
      <w:r w:rsidR="0018594D">
        <w:rPr>
          <w:color w:val="000000"/>
          <w:shd w:val="clear" w:color="auto" w:fill="FFFFFF"/>
        </w:rPr>
        <w:t xml:space="preserve"> </w:t>
      </w:r>
    </w:p>
    <w:p w14:paraId="7AFE67B7" w14:textId="77777777" w:rsidR="005329AE" w:rsidRPr="00305166" w:rsidRDefault="005329AE" w:rsidP="0040685F">
      <w:pPr>
        <w:rPr>
          <w:color w:val="000000"/>
          <w:shd w:val="clear" w:color="auto" w:fill="FFFFFF"/>
        </w:rPr>
      </w:pPr>
      <w:r>
        <w:rPr>
          <w:color w:val="000000"/>
          <w:shd w:val="clear" w:color="auto" w:fill="FFFFFF"/>
        </w:rPr>
        <w:t>More recently, the Ontario Superior Court of Justice refused to strike</w:t>
      </w:r>
      <w:r w:rsidR="00525024">
        <w:rPr>
          <w:color w:val="000000"/>
          <w:shd w:val="clear" w:color="auto" w:fill="FFFFFF"/>
        </w:rPr>
        <w:t xml:space="preserve"> a pleading of </w:t>
      </w:r>
      <w:r>
        <w:rPr>
          <w:color w:val="000000"/>
          <w:shd w:val="clear" w:color="auto" w:fill="FFFFFF"/>
        </w:rPr>
        <w:t xml:space="preserve">an oral </w:t>
      </w:r>
      <w:r w:rsidR="00EF34FB">
        <w:rPr>
          <w:color w:val="000000"/>
          <w:shd w:val="clear" w:color="auto" w:fill="FFFFFF"/>
        </w:rPr>
        <w:t>contract</w:t>
      </w:r>
      <w:r>
        <w:rPr>
          <w:color w:val="000000"/>
          <w:shd w:val="clear" w:color="auto" w:fill="FFFFFF"/>
        </w:rPr>
        <w:t xml:space="preserve"> to renew the term of a franchise agreement </w:t>
      </w:r>
      <w:r w:rsidR="007E5084">
        <w:rPr>
          <w:color w:val="000000"/>
          <w:shd w:val="clear" w:color="auto" w:fill="FFFFFF"/>
        </w:rPr>
        <w:t>even though the franchise agreement</w:t>
      </w:r>
      <w:r w:rsidR="00525024">
        <w:rPr>
          <w:color w:val="000000"/>
          <w:shd w:val="clear" w:color="auto" w:fill="FFFFFF"/>
        </w:rPr>
        <w:t xml:space="preserve"> had</w:t>
      </w:r>
      <w:r>
        <w:rPr>
          <w:color w:val="000000"/>
          <w:shd w:val="clear" w:color="auto" w:fill="FFFFFF"/>
        </w:rPr>
        <w:t xml:space="preserve"> an express non-renewal provision. Unlike the oral agreement in </w:t>
      </w:r>
      <w:proofErr w:type="spellStart"/>
      <w:r w:rsidR="00305166">
        <w:rPr>
          <w:i/>
          <w:color w:val="000000"/>
          <w:shd w:val="clear" w:color="auto" w:fill="FFFFFF"/>
        </w:rPr>
        <w:t>Shelanu</w:t>
      </w:r>
      <w:proofErr w:type="spellEnd"/>
      <w:r w:rsidR="00305166">
        <w:rPr>
          <w:color w:val="000000"/>
          <w:shd w:val="clear" w:color="auto" w:fill="FFFFFF"/>
        </w:rPr>
        <w:t xml:space="preserve">, the alleged oral agreement </w:t>
      </w:r>
      <w:r w:rsidR="005E5E11">
        <w:rPr>
          <w:color w:val="000000"/>
          <w:shd w:val="clear" w:color="auto" w:fill="FFFFFF"/>
        </w:rPr>
        <w:t xml:space="preserve">in </w:t>
      </w:r>
      <w:r w:rsidR="005E5E11">
        <w:rPr>
          <w:i/>
          <w:color w:val="000000"/>
          <w:shd w:val="clear" w:color="auto" w:fill="FFFFFF"/>
        </w:rPr>
        <w:t>6646107 Canada v</w:t>
      </w:r>
      <w:r w:rsidR="00EF34FB">
        <w:rPr>
          <w:i/>
          <w:color w:val="000000"/>
          <w:shd w:val="clear" w:color="auto" w:fill="FFFFFF"/>
        </w:rPr>
        <w:t>.</w:t>
      </w:r>
      <w:r w:rsidR="005E5E11">
        <w:rPr>
          <w:i/>
          <w:color w:val="000000"/>
          <w:shd w:val="clear" w:color="auto" w:fill="FFFFFF"/>
        </w:rPr>
        <w:t xml:space="preserve"> The TDL </w:t>
      </w:r>
      <w:r w:rsidR="00305166">
        <w:rPr>
          <w:color w:val="000000"/>
          <w:shd w:val="clear" w:color="auto" w:fill="FFFFFF"/>
        </w:rPr>
        <w:t>covered the very same matters as the written contract.</w:t>
      </w:r>
      <w:r w:rsidR="00305166">
        <w:rPr>
          <w:rStyle w:val="FootnoteReference"/>
          <w:color w:val="000000"/>
          <w:shd w:val="clear" w:color="auto" w:fill="FFFFFF"/>
        </w:rPr>
        <w:footnoteReference w:id="24"/>
      </w:r>
      <w:r w:rsidR="00305166">
        <w:rPr>
          <w:color w:val="000000"/>
          <w:shd w:val="clear" w:color="auto" w:fill="FFFFFF"/>
        </w:rPr>
        <w:t xml:space="preserve"> </w:t>
      </w:r>
    </w:p>
    <w:p w14:paraId="03D18AC5" w14:textId="66B27B9C" w:rsidR="004658D7" w:rsidRDefault="0068620A" w:rsidP="00440EA3">
      <w:pPr>
        <w:pStyle w:val="Heading2"/>
      </w:pPr>
      <w:bookmarkStart w:id="25" w:name="_Toc74812119"/>
      <w:r>
        <w:t xml:space="preserve">Oral contracts and the </w:t>
      </w:r>
      <w:proofErr w:type="spellStart"/>
      <w:r>
        <w:t>parol</w:t>
      </w:r>
      <w:proofErr w:type="spellEnd"/>
      <w:r>
        <w:t xml:space="preserve"> evidence rule</w:t>
      </w:r>
      <w:bookmarkEnd w:id="25"/>
      <w:r>
        <w:t xml:space="preserve"> </w:t>
      </w:r>
      <w:r w:rsidR="004658D7">
        <w:t xml:space="preserve"> </w:t>
      </w:r>
    </w:p>
    <w:p w14:paraId="0DB22E60" w14:textId="14233DE0" w:rsidR="00E13EFF" w:rsidRDefault="00E13EFF" w:rsidP="0040685F">
      <w:r>
        <w:t xml:space="preserve">With the exception of </w:t>
      </w:r>
      <w:r>
        <w:rPr>
          <w:i/>
        </w:rPr>
        <w:t>Gutierrez</w:t>
      </w:r>
      <w:r>
        <w:t xml:space="preserve">, the decisions discussed above all seem to run contrary to the </w:t>
      </w:r>
      <w:proofErr w:type="spellStart"/>
      <w:r>
        <w:t>parol</w:t>
      </w:r>
      <w:proofErr w:type="spellEnd"/>
      <w:r>
        <w:t xml:space="preserve"> evidence rule, which </w:t>
      </w:r>
      <w:r w:rsidR="00ED76D8">
        <w:t>is supposed to exclude</w:t>
      </w:r>
      <w:r>
        <w:t xml:space="preserve"> extrinsic evidence that might vary the meaning of an unambiguous written contact.</w:t>
      </w:r>
      <w:r>
        <w:rPr>
          <w:rStyle w:val="FootnoteReference"/>
          <w:lang w:eastAsia="en-CA"/>
        </w:rPr>
        <w:footnoteReference w:id="25"/>
      </w:r>
      <w:r>
        <w:t xml:space="preserve"> </w:t>
      </w:r>
      <w:r w:rsidR="00ED76D8">
        <w:t xml:space="preserve">The case law around the </w:t>
      </w:r>
      <w:proofErr w:type="spellStart"/>
      <w:r w:rsidR="00ED76D8">
        <w:t>parol</w:t>
      </w:r>
      <w:proofErr w:type="spellEnd"/>
      <w:r w:rsidR="00ED76D8">
        <w:t xml:space="preserve"> evidence rule has developed numerous exception</w:t>
      </w:r>
      <w:r w:rsidR="002B05A6">
        <w:t>s</w:t>
      </w:r>
      <w:r w:rsidR="00ED76D8">
        <w:t xml:space="preserve"> to it, in furtherance of</w:t>
      </w:r>
      <w:r>
        <w:t xml:space="preserve"> efforts to ascertain and enforce the true intentions of contracting parties. </w:t>
      </w:r>
      <w:r w:rsidR="00ED76D8">
        <w:t xml:space="preserve">These include claims of fraud or misrepresentation, evidence supporting </w:t>
      </w:r>
      <w:r w:rsidR="00B276AE">
        <w:t xml:space="preserve">a </w:t>
      </w:r>
      <w:r w:rsidR="00ED76D8">
        <w:t xml:space="preserve">rectification claim, and evidence supporting a collateral oral agreement. </w:t>
      </w:r>
    </w:p>
    <w:p w14:paraId="1332E845" w14:textId="0774C56E" w:rsidR="00BF7537" w:rsidRDefault="00E13EFF" w:rsidP="0040685F">
      <w:r>
        <w:lastRenderedPageBreak/>
        <w:t xml:space="preserve">In </w:t>
      </w:r>
      <w:proofErr w:type="spellStart"/>
      <w:r w:rsidR="0007314D">
        <w:rPr>
          <w:i/>
        </w:rPr>
        <w:t>Shelanu</w:t>
      </w:r>
      <w:proofErr w:type="spellEnd"/>
      <w:r>
        <w:rPr>
          <w:shd w:val="clear" w:color="auto" w:fill="FFFFFF"/>
        </w:rPr>
        <w:t xml:space="preserve">, the Ontario Court of Appeal </w:t>
      </w:r>
      <w:r w:rsidR="00EB5AC9">
        <w:rPr>
          <w:shd w:val="clear" w:color="auto" w:fill="FFFFFF"/>
        </w:rPr>
        <w:t>held</w:t>
      </w:r>
      <w:r w:rsidR="00FE0F33" w:rsidRPr="007755DC">
        <w:rPr>
          <w:shd w:val="clear" w:color="auto" w:fill="FFFFFF"/>
        </w:rPr>
        <w:t xml:space="preserve"> that </w:t>
      </w:r>
      <w:r w:rsidR="0007314D">
        <w:rPr>
          <w:shd w:val="clear" w:color="auto" w:fill="FFFFFF"/>
        </w:rPr>
        <w:t xml:space="preserve">an exception to the </w:t>
      </w:r>
      <w:proofErr w:type="spellStart"/>
      <w:r w:rsidR="0007314D">
        <w:rPr>
          <w:shd w:val="clear" w:color="auto" w:fill="FFFFFF"/>
        </w:rPr>
        <w:t>parol</w:t>
      </w:r>
      <w:proofErr w:type="spellEnd"/>
      <w:r w:rsidR="0007314D">
        <w:rPr>
          <w:shd w:val="clear" w:color="auto" w:fill="FFFFFF"/>
        </w:rPr>
        <w:t xml:space="preserve"> evidence rule is an </w:t>
      </w:r>
      <w:r w:rsidR="00FE0F33" w:rsidRPr="007755DC">
        <w:rPr>
          <w:shd w:val="clear" w:color="auto" w:fill="FFFFFF"/>
        </w:rPr>
        <w:t>o</w:t>
      </w:r>
      <w:r w:rsidR="0007314D">
        <w:t xml:space="preserve">ral agreement to </w:t>
      </w:r>
      <w:r w:rsidR="0007314D" w:rsidRPr="0007314D">
        <w:t>rescind or modify a written contract</w:t>
      </w:r>
      <w:r w:rsidR="000A7F7A">
        <w:t>,</w:t>
      </w:r>
      <w:r w:rsidR="0007314D" w:rsidRPr="0007314D">
        <w:t xml:space="preserve"> provided that the </w:t>
      </w:r>
      <w:r w:rsidR="0007314D">
        <w:t xml:space="preserve">oral </w:t>
      </w:r>
      <w:r w:rsidR="0007314D" w:rsidRPr="0007314D">
        <w:t xml:space="preserve">agreement is not invalid under the </w:t>
      </w:r>
      <w:r w:rsidR="0007314D" w:rsidRPr="0007314D">
        <w:rPr>
          <w:i/>
        </w:rPr>
        <w:t>Statute of Frauds</w:t>
      </w:r>
      <w:r w:rsidR="002779AB">
        <w:t>.</w:t>
      </w:r>
      <w:r w:rsidR="004658D7" w:rsidRPr="007755DC">
        <w:rPr>
          <w:rStyle w:val="FootnoteReference"/>
          <w:lang w:eastAsia="en-CA"/>
        </w:rPr>
        <w:footnoteReference w:id="26"/>
      </w:r>
      <w:r w:rsidR="00FE0F33" w:rsidRPr="007755DC">
        <w:t xml:space="preserve"> </w:t>
      </w:r>
      <w:r w:rsidR="0007314D">
        <w:t xml:space="preserve">The Saskatchewan Court of Appeal reached the same conclusion in </w:t>
      </w:r>
      <w:r w:rsidR="0007314D">
        <w:rPr>
          <w:i/>
        </w:rPr>
        <w:t>Barber v. Glen</w:t>
      </w:r>
      <w:r w:rsidR="0007314D">
        <w:t>.</w:t>
      </w:r>
      <w:r w:rsidR="0007314D">
        <w:rPr>
          <w:rStyle w:val="FootnoteReference"/>
        </w:rPr>
        <w:footnoteReference w:id="27"/>
      </w:r>
      <w:r w:rsidR="0007314D">
        <w:t xml:space="preserve"> Another</w:t>
      </w:r>
      <w:r w:rsidR="00ED76D8">
        <w:t>, related</w:t>
      </w:r>
      <w:r w:rsidR="0007314D">
        <w:t xml:space="preserve"> exception </w:t>
      </w:r>
      <w:r w:rsidR="00DC12DF">
        <w:t>is</w:t>
      </w:r>
      <w:r w:rsidR="0007314D">
        <w:t xml:space="preserve"> </w:t>
      </w:r>
      <w:r w:rsidR="00ED76D8">
        <w:t xml:space="preserve">a </w:t>
      </w:r>
      <w:r w:rsidR="0007314D">
        <w:t>so-called</w:t>
      </w:r>
      <w:r w:rsidR="002779AB">
        <w:t xml:space="preserve"> “umbrella agreement”</w:t>
      </w:r>
      <w:r w:rsidR="000D1924">
        <w:t>—</w:t>
      </w:r>
      <w:r w:rsidR="00ED76D8">
        <w:t>an</w:t>
      </w:r>
      <w:r w:rsidR="00024620">
        <w:t xml:space="preserve"> overarching contractual relationship </w:t>
      </w:r>
      <w:r w:rsidR="005630D2">
        <w:t>that</w:t>
      </w:r>
      <w:r w:rsidR="00024620">
        <w:t xml:space="preserve"> can override specific </w:t>
      </w:r>
      <w:r w:rsidR="003B10A1">
        <w:t xml:space="preserve">terms in subsidiary </w:t>
      </w:r>
      <w:r w:rsidR="00024620">
        <w:t>contractual documents like promissory notes</w:t>
      </w:r>
      <w:r w:rsidR="002779AB">
        <w:t xml:space="preserve">. </w:t>
      </w:r>
    </w:p>
    <w:p w14:paraId="6A0D2871" w14:textId="1198E4BE" w:rsidR="002779AB" w:rsidRDefault="002779AB" w:rsidP="0040685F">
      <w:r>
        <w:t>The concept</w:t>
      </w:r>
      <w:r w:rsidR="00024620">
        <w:t xml:space="preserve"> of an “umbrella agreement”</w:t>
      </w:r>
      <w:r>
        <w:t xml:space="preserve"> traces back to</w:t>
      </w:r>
      <w:r w:rsidR="000C791A">
        <w:t xml:space="preserve"> </w:t>
      </w:r>
      <w:r w:rsidR="00024620">
        <w:t xml:space="preserve">the B.C. Court of Appeal decision in </w:t>
      </w:r>
      <w:r w:rsidR="00024620">
        <w:rPr>
          <w:i/>
          <w:iCs/>
        </w:rPr>
        <w:t>Bank of Montreal v. Wilder</w:t>
      </w:r>
      <w:r w:rsidR="00024620">
        <w:t xml:space="preserve">, </w:t>
      </w:r>
      <w:r w:rsidR="004700AA">
        <w:t xml:space="preserve">which held that </w:t>
      </w:r>
      <w:r w:rsidR="000A7E02">
        <w:t>the interpretation of “</w:t>
      </w:r>
      <w:r w:rsidR="004B378E">
        <w:t xml:space="preserve">on </w:t>
      </w:r>
      <w:r w:rsidR="000A7E02">
        <w:t>demand</w:t>
      </w:r>
      <w:r w:rsidR="004B378E">
        <w:t xml:space="preserve">” in a promissory note would need to be interpreted in a manner consistent </w:t>
      </w:r>
      <w:r w:rsidR="00847FAF">
        <w:t xml:space="preserve">with the broader </w:t>
      </w:r>
      <w:r w:rsidR="002E3609">
        <w:t xml:space="preserve">oral </w:t>
      </w:r>
      <w:r w:rsidR="0010193D">
        <w:t xml:space="preserve">loan </w:t>
      </w:r>
      <w:r w:rsidR="00847FAF">
        <w:t>agre</w:t>
      </w:r>
      <w:r w:rsidR="00E1686D">
        <w:t>ement</w:t>
      </w:r>
      <w:r w:rsidR="0010193D">
        <w:t xml:space="preserve"> between </w:t>
      </w:r>
      <w:r w:rsidR="00DC12DF">
        <w:t xml:space="preserve">the </w:t>
      </w:r>
      <w:r w:rsidR="0010193D">
        <w:t>lender and borrower</w:t>
      </w:r>
      <w:r w:rsidR="00BF7537">
        <w:t xml:space="preserve">. The Court of Appeal </w:t>
      </w:r>
      <w:r w:rsidR="006A3006">
        <w:t>added</w:t>
      </w:r>
      <w:r w:rsidR="00BF7537">
        <w:t xml:space="preserve"> that</w:t>
      </w:r>
      <w:r w:rsidR="00744A4C">
        <w:t xml:space="preserve"> if </w:t>
      </w:r>
      <w:r w:rsidR="00D24FE1">
        <w:t>an</w:t>
      </w:r>
      <w:r w:rsidR="00744A4C">
        <w:t xml:space="preserve"> alleged umbrella agreement is a true collateral agreement, as opposed to a </w:t>
      </w:r>
      <w:r w:rsidR="007F4490">
        <w:t xml:space="preserve">unilateral oral representation, it is an exception to the </w:t>
      </w:r>
      <w:proofErr w:type="spellStart"/>
      <w:r w:rsidR="007F4490">
        <w:t>parol</w:t>
      </w:r>
      <w:proofErr w:type="spellEnd"/>
      <w:r w:rsidR="007F4490">
        <w:t xml:space="preserve"> evidence rule.</w:t>
      </w:r>
      <w:r w:rsidR="00002875">
        <w:rPr>
          <w:rStyle w:val="FootnoteReference"/>
        </w:rPr>
        <w:footnoteReference w:id="28"/>
      </w:r>
    </w:p>
    <w:p w14:paraId="37C2FC01" w14:textId="5FF786E1" w:rsidR="002779AB" w:rsidRDefault="00FF6C03" w:rsidP="0040685F">
      <w:r>
        <w:t xml:space="preserve">The B.C. Court of Appeal further extended the </w:t>
      </w:r>
      <w:r w:rsidR="008E2095">
        <w:t xml:space="preserve">umbrella agreement doctrine in </w:t>
      </w:r>
      <w:r w:rsidR="008E2095">
        <w:rPr>
          <w:i/>
          <w:iCs/>
        </w:rPr>
        <w:t>0930032 B.C.</w:t>
      </w:r>
      <w:r w:rsidR="00ED76D8">
        <w:rPr>
          <w:i/>
          <w:iCs/>
        </w:rPr>
        <w:t xml:space="preserve"> v. Oaks Dairy Farms</w:t>
      </w:r>
      <w:r w:rsidR="00ED76D8">
        <w:rPr>
          <w:iCs/>
        </w:rPr>
        <w:t xml:space="preserve">. </w:t>
      </w:r>
      <w:r w:rsidR="006A3006">
        <w:t xml:space="preserve">In that case, the umbrella </w:t>
      </w:r>
      <w:r w:rsidR="006A3006">
        <w:lastRenderedPageBreak/>
        <w:t xml:space="preserve">agreement was a partnership </w:t>
      </w:r>
      <w:r w:rsidR="00972CB5">
        <w:t xml:space="preserve">document </w:t>
      </w:r>
      <w:r w:rsidR="006A3006">
        <w:t xml:space="preserve">executed years earlier </w:t>
      </w:r>
      <w:r w:rsidR="00A20B6D">
        <w:t xml:space="preserve">that </w:t>
      </w:r>
      <w:r w:rsidR="00972CB5">
        <w:t>had</w:t>
      </w:r>
      <w:r w:rsidR="00A20B6D">
        <w:t xml:space="preserve"> a prohibition on either party taking steps detrimental to their </w:t>
      </w:r>
      <w:r w:rsidR="00366D66">
        <w:t xml:space="preserve">dairy </w:t>
      </w:r>
      <w:r w:rsidR="00A20B6D">
        <w:t>farm business</w:t>
      </w:r>
      <w:r w:rsidR="00366D66">
        <w:t xml:space="preserve">. </w:t>
      </w:r>
      <w:r w:rsidR="001432BD">
        <w:t>The</w:t>
      </w:r>
      <w:r w:rsidR="002B05A6">
        <w:t xml:space="preserve"> </w:t>
      </w:r>
      <w:r w:rsidR="001432BD">
        <w:t xml:space="preserve">Court of Appeal </w:t>
      </w:r>
      <w:r w:rsidR="00850091">
        <w:t>refus</w:t>
      </w:r>
      <w:r w:rsidR="00E97118">
        <w:t>ed</w:t>
      </w:r>
      <w:r w:rsidR="00850091">
        <w:t xml:space="preserve"> to enforce a promissory note that would make it impossible for the dairy farm to continue. </w:t>
      </w:r>
      <w:r w:rsidR="00972CB5">
        <w:t>The</w:t>
      </w:r>
      <w:r w:rsidR="002B05A6">
        <w:t xml:space="preserve"> </w:t>
      </w:r>
      <w:r w:rsidR="00B412A2">
        <w:t>Court of Appeal explained that an umbrella agreement can be oral or writte</w:t>
      </w:r>
      <w:r w:rsidR="00615869">
        <w:t xml:space="preserve">n, but that in either case, a court must be </w:t>
      </w:r>
      <w:r w:rsidR="00972CB5">
        <w:t>“</w:t>
      </w:r>
      <w:r w:rsidR="00615869">
        <w:t xml:space="preserve">satisfied that the evidence, objectively considered, shows that the parties intended to bind </w:t>
      </w:r>
      <w:r w:rsidR="003C4550">
        <w:t>themselves to the contractual obligations, that there was c</w:t>
      </w:r>
      <w:r w:rsidR="001E6C56">
        <w:t>onsideration for their promises, and that the terms of the agreement are not vague, but capable of bo</w:t>
      </w:r>
      <w:r w:rsidR="0007314D">
        <w:t>th performance and enforcement</w:t>
      </w:r>
      <w:r w:rsidR="00E97118">
        <w:t>”</w:t>
      </w:r>
      <w:r w:rsidR="0007314D">
        <w:t>.</w:t>
      </w:r>
      <w:r w:rsidR="00FA5ACF">
        <w:rPr>
          <w:rStyle w:val="FootnoteReference"/>
        </w:rPr>
        <w:footnoteReference w:id="29"/>
      </w:r>
    </w:p>
    <w:p w14:paraId="726A6128" w14:textId="00F4DF9A" w:rsidR="00647DC0" w:rsidRDefault="00CE7DE5" w:rsidP="0040685F">
      <w:r>
        <w:t>The admissibility of umbrella and other collateral agreements</w:t>
      </w:r>
      <w:r w:rsidR="002A003A">
        <w:t xml:space="preserve"> as an exception to the </w:t>
      </w:r>
      <w:proofErr w:type="spellStart"/>
      <w:r w:rsidR="002A003A">
        <w:t>parol</w:t>
      </w:r>
      <w:proofErr w:type="spellEnd"/>
      <w:r w:rsidR="002A003A">
        <w:t xml:space="preserve"> evidenc</w:t>
      </w:r>
      <w:r w:rsidR="001C394B">
        <w:t xml:space="preserve">e </w:t>
      </w:r>
      <w:r w:rsidR="00DB168D">
        <w:t xml:space="preserve">rule </w:t>
      </w:r>
      <w:r w:rsidR="00947E98">
        <w:t xml:space="preserve">is even more </w:t>
      </w:r>
      <w:r w:rsidR="001C394B">
        <w:t>app</w:t>
      </w:r>
      <w:r w:rsidR="00947E98">
        <w:t>osite</w:t>
      </w:r>
      <w:r w:rsidR="001C394B">
        <w:t xml:space="preserve"> after</w:t>
      </w:r>
      <w:r w:rsidR="00FE0F33" w:rsidRPr="007755DC">
        <w:t xml:space="preserve"> the Supreme Court’s decision in </w:t>
      </w:r>
      <w:r w:rsidR="00FE0F33" w:rsidRPr="007755DC">
        <w:rPr>
          <w:i/>
        </w:rPr>
        <w:t>Sattva</w:t>
      </w:r>
      <w:r w:rsidR="00ED239D">
        <w:rPr>
          <w:i/>
        </w:rPr>
        <w:t xml:space="preserve">, </w:t>
      </w:r>
      <w:r w:rsidR="00ED239D">
        <w:rPr>
          <w:iCs/>
        </w:rPr>
        <w:t xml:space="preserve">and in particular the following passage: </w:t>
      </w:r>
    </w:p>
    <w:p w14:paraId="24314D39" w14:textId="6DDCC9AF" w:rsidR="007755DC" w:rsidRDefault="002A3F78" w:rsidP="008C38B0">
      <w:pPr>
        <w:pStyle w:val="Quote"/>
        <w:divId w:val="284047092"/>
        <w:rPr>
          <w:lang w:val="en-CA"/>
        </w:rPr>
      </w:pPr>
      <w:r>
        <w:rPr>
          <w:lang w:val="en-CA"/>
        </w:rPr>
        <w:t>T</w:t>
      </w:r>
      <w:r w:rsidR="00D90CFE" w:rsidRPr="00D90CFE">
        <w:rPr>
          <w:lang w:val="en-CA"/>
        </w:rPr>
        <w:t xml:space="preserve">he </w:t>
      </w:r>
      <w:proofErr w:type="spellStart"/>
      <w:r w:rsidR="00D90CFE" w:rsidRPr="00D90CFE">
        <w:rPr>
          <w:lang w:val="en-CA"/>
        </w:rPr>
        <w:t>parol</w:t>
      </w:r>
      <w:proofErr w:type="spellEnd"/>
      <w:r w:rsidR="00D90CFE" w:rsidRPr="00D90CFE">
        <w:rPr>
          <w:lang w:val="en-CA"/>
        </w:rPr>
        <w:t xml:space="preserve"> evidence rule does not apply to preclude evidence of the surrounding circumstances. Such evidence is consistent with the objectives of finality and certainty because it is used as an interpretive aid for determining the meaning of the written words chosen by the parties, not to change or overrule the meaning of those words. The surrounding circumstances are facts known or facts that reasonably ought to have been known to both parties at or before the date of contracting; therefore, the concern of unreliability does not arise</w:t>
      </w:r>
      <w:r>
        <w:rPr>
          <w:lang w:val="en-CA"/>
        </w:rPr>
        <w:t>.</w:t>
      </w:r>
      <w:r w:rsidR="00A8292E">
        <w:rPr>
          <w:rStyle w:val="FootnoteReference"/>
          <w:lang w:val="en-CA"/>
        </w:rPr>
        <w:footnoteReference w:id="30"/>
      </w:r>
    </w:p>
    <w:p w14:paraId="04C3B924" w14:textId="79788E4E" w:rsidR="001D1C1D" w:rsidRDefault="00C4293B" w:rsidP="0040685F">
      <w:r>
        <w:lastRenderedPageBreak/>
        <w:t>In</w:t>
      </w:r>
      <w:r w:rsidR="00982351">
        <w:t xml:space="preserve"> </w:t>
      </w:r>
      <w:proofErr w:type="spellStart"/>
      <w:r w:rsidR="00982351">
        <w:rPr>
          <w:i/>
          <w:iCs/>
        </w:rPr>
        <w:t>Stankovic</w:t>
      </w:r>
      <w:proofErr w:type="spellEnd"/>
      <w:r w:rsidR="00982351">
        <w:rPr>
          <w:i/>
          <w:iCs/>
        </w:rPr>
        <w:t xml:space="preserve"> v. 1536679 Alberta</w:t>
      </w:r>
      <w:r w:rsidR="00245526">
        <w:rPr>
          <w:i/>
          <w:iCs/>
        </w:rPr>
        <w:t>,</w:t>
      </w:r>
      <w:r w:rsidR="00D06D16">
        <w:rPr>
          <w:i/>
          <w:iCs/>
        </w:rPr>
        <w:t xml:space="preserve"> </w:t>
      </w:r>
      <w:r w:rsidR="00D06D16" w:rsidRPr="00D06D16">
        <w:t xml:space="preserve">the Alberta Court of appeal cited the above passage in reversing a chambers </w:t>
      </w:r>
      <w:r w:rsidR="0007314D">
        <w:t xml:space="preserve">decision to exclude evidence of </w:t>
      </w:r>
      <w:r w:rsidR="00D06D16" w:rsidRPr="00D06D16">
        <w:t xml:space="preserve">a collateral </w:t>
      </w:r>
      <w:r w:rsidR="001D1C1D">
        <w:t xml:space="preserve">umbrella </w:t>
      </w:r>
      <w:r w:rsidR="00D06D16" w:rsidRPr="00D06D16">
        <w:t xml:space="preserve">agreement </w:t>
      </w:r>
      <w:r w:rsidR="00DB168D">
        <w:t xml:space="preserve">that would be </w:t>
      </w:r>
      <w:r w:rsidR="00D06D16" w:rsidRPr="00D06D16">
        <w:t>contrary to the terms of a written mortgage</w:t>
      </w:r>
      <w:r w:rsidR="00DB168D">
        <w:t xml:space="preserve">. The defendant had alleged that the mortgage was part of a broader oral joint venture in which the parties agreed that there would be no indebtedness under the mortgage independent of </w:t>
      </w:r>
      <w:r w:rsidR="00DB168D" w:rsidRPr="00DB168D">
        <w:t>subdivision and sale of the</w:t>
      </w:r>
      <w:r w:rsidR="00DB168D">
        <w:t xml:space="preserve"> property</w:t>
      </w:r>
      <w:r w:rsidR="00D06D16" w:rsidRPr="00D06D16">
        <w:t>.</w:t>
      </w:r>
      <w:r w:rsidR="00150634" w:rsidRPr="00D06D16">
        <w:rPr>
          <w:rStyle w:val="FootnoteReference"/>
        </w:rPr>
        <w:footnoteReference w:id="31"/>
      </w:r>
      <w:r w:rsidR="00982351" w:rsidRPr="00D06D16">
        <w:t xml:space="preserve"> </w:t>
      </w:r>
    </w:p>
    <w:p w14:paraId="122BF591" w14:textId="782DC77E" w:rsidR="00526BD9" w:rsidRPr="00FE0F33" w:rsidRDefault="00AC37B7" w:rsidP="0040685F">
      <w:r>
        <w:t>Th</w:t>
      </w:r>
      <w:r w:rsidR="008A7876">
        <w:t xml:space="preserve">ough </w:t>
      </w:r>
      <w:r w:rsidR="001D1C1D">
        <w:t xml:space="preserve">the </w:t>
      </w:r>
      <w:proofErr w:type="spellStart"/>
      <w:r>
        <w:t>parol</w:t>
      </w:r>
      <w:proofErr w:type="spellEnd"/>
      <w:r>
        <w:t xml:space="preserve"> evidence rule remains </w:t>
      </w:r>
      <w:r w:rsidR="0007314D">
        <w:t>good law</w:t>
      </w:r>
      <w:r w:rsidR="008A7876">
        <w:t>,</w:t>
      </w:r>
      <w:r w:rsidR="00BA62DC">
        <w:rPr>
          <w:rStyle w:val="FootnoteReference"/>
        </w:rPr>
        <w:footnoteReference w:id="32"/>
      </w:r>
      <w:r w:rsidR="008A7876">
        <w:t xml:space="preserve"> </w:t>
      </w:r>
      <w:r w:rsidR="003A41A7">
        <w:t>courts are loathe to enforce it</w:t>
      </w:r>
      <w:r w:rsidR="005176FF">
        <w:t xml:space="preserve"> </w:t>
      </w:r>
      <w:r w:rsidR="00E0035A">
        <w:t>if</w:t>
      </w:r>
      <w:r w:rsidR="005176FF">
        <w:t xml:space="preserve"> there is strong evidence of </w:t>
      </w:r>
      <w:r w:rsidR="004F3105">
        <w:t>a contrary oral agreement</w:t>
      </w:r>
      <w:r w:rsidR="001D1C1D">
        <w:t xml:space="preserve">. Whether an oral agreement is “contrary” to the written contract can </w:t>
      </w:r>
      <w:r w:rsidR="00642DDD">
        <w:t>be case dependent</w:t>
      </w:r>
      <w:r w:rsidR="001D1C1D">
        <w:t>.</w:t>
      </w:r>
      <w:r w:rsidR="00642DDD">
        <w:t xml:space="preserve"> A year after the Alberta Court of Appeal decided </w:t>
      </w:r>
      <w:proofErr w:type="spellStart"/>
      <w:r w:rsidR="00642DDD">
        <w:rPr>
          <w:i/>
        </w:rPr>
        <w:t>Stankovic</w:t>
      </w:r>
      <w:proofErr w:type="spellEnd"/>
      <w:r w:rsidR="00642DDD">
        <w:t xml:space="preserve">, it refused to allow </w:t>
      </w:r>
      <w:proofErr w:type="spellStart"/>
      <w:r w:rsidR="00642DDD">
        <w:t>parol</w:t>
      </w:r>
      <w:proofErr w:type="spellEnd"/>
      <w:r w:rsidR="00642DDD">
        <w:t xml:space="preserve"> evidence where it found insufficient indicia of an umbrella agreement.</w:t>
      </w:r>
      <w:r w:rsidR="00A1619D">
        <w:rPr>
          <w:rStyle w:val="FootnoteReference"/>
        </w:rPr>
        <w:footnoteReference w:id="33"/>
      </w:r>
      <w:r w:rsidR="001D1C1D">
        <w:t xml:space="preserve"> </w:t>
      </w:r>
      <w:r w:rsidR="00F239B3">
        <w:t xml:space="preserve">Despite the </w:t>
      </w:r>
      <w:proofErr w:type="spellStart"/>
      <w:r w:rsidR="00F239B3">
        <w:t>parol</w:t>
      </w:r>
      <w:proofErr w:type="spellEnd"/>
      <w:r w:rsidR="00F239B3">
        <w:t xml:space="preserve"> evidence rule, </w:t>
      </w:r>
      <w:r w:rsidR="00226812">
        <w:t>credible, c</w:t>
      </w:r>
      <w:r w:rsidR="007D0206">
        <w:t xml:space="preserve">ontrary oral evidence </w:t>
      </w:r>
      <w:r w:rsidR="00226812">
        <w:t xml:space="preserve">will </w:t>
      </w:r>
      <w:r w:rsidR="000C27FC">
        <w:t xml:space="preserve">regularly </w:t>
      </w:r>
      <w:r w:rsidR="00226812">
        <w:t>be</w:t>
      </w:r>
      <w:r w:rsidR="006B2353">
        <w:t xml:space="preserve"> admi</w:t>
      </w:r>
      <w:r w:rsidR="00226812">
        <w:t>tted</w:t>
      </w:r>
      <w:r w:rsidR="00A70B6F">
        <w:t xml:space="preserve"> </w:t>
      </w:r>
      <w:r w:rsidR="00367B87">
        <w:t xml:space="preserve">in </w:t>
      </w:r>
      <w:r w:rsidR="007D0206">
        <w:t>support</w:t>
      </w:r>
      <w:r w:rsidR="00367B87">
        <w:t xml:space="preserve"> of a</w:t>
      </w:r>
      <w:r w:rsidR="001D1C1D">
        <w:t xml:space="preserve"> </w:t>
      </w:r>
      <w:r w:rsidR="00DB168D">
        <w:t>collateral</w:t>
      </w:r>
      <w:r w:rsidR="000C27FC">
        <w:t xml:space="preserve"> oral</w:t>
      </w:r>
      <w:r w:rsidR="00A1619D">
        <w:t xml:space="preserve"> agreement, including a </w:t>
      </w:r>
      <w:r w:rsidR="001D1C1D">
        <w:t>prior</w:t>
      </w:r>
      <w:r w:rsidR="000D1CFF">
        <w:t xml:space="preserve"> umbrella agreement, or a </w:t>
      </w:r>
      <w:r w:rsidR="00532F15">
        <w:t xml:space="preserve">subsequent </w:t>
      </w:r>
      <w:r w:rsidR="00A70B6F">
        <w:t>agreement</w:t>
      </w:r>
      <w:r w:rsidR="009378D0">
        <w:t xml:space="preserve"> that modifies the contractual relationship, as in </w:t>
      </w:r>
      <w:proofErr w:type="spellStart"/>
      <w:r w:rsidR="009378D0">
        <w:rPr>
          <w:i/>
        </w:rPr>
        <w:t>Shelanu</w:t>
      </w:r>
      <w:proofErr w:type="spellEnd"/>
      <w:r w:rsidR="00874D9A">
        <w:t>.</w:t>
      </w:r>
    </w:p>
    <w:p w14:paraId="0CDDC8A0" w14:textId="3065E662" w:rsidR="00087AE6" w:rsidRDefault="00F03129" w:rsidP="00440EA3">
      <w:pPr>
        <w:pStyle w:val="Heading2"/>
        <w:rPr>
          <w:shd w:val="clear" w:color="auto" w:fill="FFFFFF"/>
        </w:rPr>
      </w:pPr>
      <w:bookmarkStart w:id="26" w:name="_Toc74812120"/>
      <w:r>
        <w:rPr>
          <w:shd w:val="clear" w:color="auto" w:fill="FFFFFF"/>
        </w:rPr>
        <w:lastRenderedPageBreak/>
        <w:t>The paradox of prohibitions on</w:t>
      </w:r>
      <w:r w:rsidR="00440EA3">
        <w:rPr>
          <w:shd w:val="clear" w:color="auto" w:fill="FFFFFF"/>
        </w:rPr>
        <w:t xml:space="preserve"> oral amendments</w:t>
      </w:r>
      <w:bookmarkEnd w:id="26"/>
      <w:r w:rsidR="00440EA3">
        <w:rPr>
          <w:shd w:val="clear" w:color="auto" w:fill="FFFFFF"/>
        </w:rPr>
        <w:t xml:space="preserve"> </w:t>
      </w:r>
    </w:p>
    <w:p w14:paraId="5F46217B" w14:textId="721E6BC0" w:rsidR="008C50B2" w:rsidRDefault="009D2C4A" w:rsidP="0040685F">
      <w:pPr>
        <w:rPr>
          <w:lang w:eastAsia="en-CA"/>
        </w:rPr>
      </w:pPr>
      <w:r>
        <w:rPr>
          <w:lang w:eastAsia="en-CA"/>
        </w:rPr>
        <w:t xml:space="preserve">In </w:t>
      </w:r>
      <w:proofErr w:type="spellStart"/>
      <w:r w:rsidR="00F03129">
        <w:rPr>
          <w:i/>
          <w:lang w:eastAsia="en-CA"/>
        </w:rPr>
        <w:t>Shelanu</w:t>
      </w:r>
      <w:proofErr w:type="spellEnd"/>
      <w:r w:rsidR="001D1C1D">
        <w:rPr>
          <w:iCs/>
          <w:lang w:eastAsia="en-CA"/>
        </w:rPr>
        <w:t>, the Ontario Court of Ap</w:t>
      </w:r>
      <w:r w:rsidR="00BE012C">
        <w:rPr>
          <w:iCs/>
          <w:lang w:eastAsia="en-CA"/>
        </w:rPr>
        <w:t>peal</w:t>
      </w:r>
      <w:r w:rsidR="00FE0F33">
        <w:rPr>
          <w:i/>
          <w:color w:val="000000"/>
          <w:shd w:val="clear" w:color="auto" w:fill="FFFFFF"/>
        </w:rPr>
        <w:t xml:space="preserve"> </w:t>
      </w:r>
      <w:r w:rsidR="00FE0F33">
        <w:rPr>
          <w:color w:val="000000"/>
          <w:shd w:val="clear" w:color="auto" w:fill="FFFFFF"/>
        </w:rPr>
        <w:t>h</w:t>
      </w:r>
      <w:r w:rsidR="00F03129">
        <w:rPr>
          <w:lang w:eastAsia="en-CA"/>
        </w:rPr>
        <w:t xml:space="preserve">ad to consider two </w:t>
      </w:r>
      <w:r w:rsidR="005E5E11">
        <w:rPr>
          <w:lang w:eastAsia="en-CA"/>
        </w:rPr>
        <w:t xml:space="preserve">distinct but related </w:t>
      </w:r>
      <w:r w:rsidR="008C50B2">
        <w:rPr>
          <w:lang w:eastAsia="en-CA"/>
        </w:rPr>
        <w:t xml:space="preserve">types of </w:t>
      </w:r>
      <w:r w:rsidR="00F03129">
        <w:rPr>
          <w:lang w:eastAsia="en-CA"/>
        </w:rPr>
        <w:t xml:space="preserve">exclusion clauses. The first </w:t>
      </w:r>
      <w:r w:rsidR="00526BD9">
        <w:rPr>
          <w:lang w:eastAsia="en-CA"/>
        </w:rPr>
        <w:t>were</w:t>
      </w:r>
      <w:r w:rsidR="00F03129">
        <w:rPr>
          <w:lang w:eastAsia="en-CA"/>
        </w:rPr>
        <w:t xml:space="preserve"> entire agreement clause</w:t>
      </w:r>
      <w:r w:rsidR="008C50B2">
        <w:rPr>
          <w:lang w:eastAsia="en-CA"/>
        </w:rPr>
        <w:t xml:space="preserve">s, </w:t>
      </w:r>
      <w:r w:rsidR="00526BD9">
        <w:rPr>
          <w:lang w:eastAsia="en-CA"/>
        </w:rPr>
        <w:t>discussed</w:t>
      </w:r>
      <w:r w:rsidR="002C0120">
        <w:rPr>
          <w:lang w:eastAsia="en-CA"/>
        </w:rPr>
        <w:t xml:space="preserve"> above. The second </w:t>
      </w:r>
      <w:r w:rsidR="00526BD9">
        <w:rPr>
          <w:lang w:eastAsia="en-CA"/>
        </w:rPr>
        <w:t>were</w:t>
      </w:r>
      <w:r w:rsidR="002C0120">
        <w:rPr>
          <w:lang w:eastAsia="en-CA"/>
        </w:rPr>
        <w:t xml:space="preserve"> clause</w:t>
      </w:r>
      <w:r w:rsidR="00526BD9">
        <w:rPr>
          <w:lang w:eastAsia="en-CA"/>
        </w:rPr>
        <w:t>s</w:t>
      </w:r>
      <w:r w:rsidR="002C0120">
        <w:rPr>
          <w:lang w:eastAsia="en-CA"/>
        </w:rPr>
        <w:t xml:space="preserve"> prohibiting</w:t>
      </w:r>
      <w:r w:rsidR="008C50B2">
        <w:rPr>
          <w:lang w:eastAsia="en-CA"/>
        </w:rPr>
        <w:t xml:space="preserve"> contractual</w:t>
      </w:r>
      <w:r w:rsidR="002C0120">
        <w:rPr>
          <w:lang w:eastAsia="en-CA"/>
        </w:rPr>
        <w:t xml:space="preserve"> amendments</w:t>
      </w:r>
      <w:r w:rsidR="00526BD9">
        <w:rPr>
          <w:lang w:eastAsia="en-CA"/>
        </w:rPr>
        <w:t xml:space="preserve"> </w:t>
      </w:r>
      <w:r w:rsidR="00525024">
        <w:rPr>
          <w:lang w:eastAsia="en-CA"/>
        </w:rPr>
        <w:t>except</w:t>
      </w:r>
      <w:r w:rsidR="00D04FBA">
        <w:rPr>
          <w:lang w:eastAsia="en-CA"/>
        </w:rPr>
        <w:t xml:space="preserve"> </w:t>
      </w:r>
      <w:r w:rsidR="002C0120">
        <w:rPr>
          <w:lang w:eastAsia="en-CA"/>
        </w:rPr>
        <w:t xml:space="preserve">in writing and </w:t>
      </w:r>
      <w:r w:rsidR="00F71161">
        <w:rPr>
          <w:lang w:eastAsia="en-CA"/>
        </w:rPr>
        <w:t xml:space="preserve">where </w:t>
      </w:r>
      <w:r w:rsidR="002C0120">
        <w:rPr>
          <w:lang w:eastAsia="en-CA"/>
        </w:rPr>
        <w:t>signed by the parties.</w:t>
      </w:r>
      <w:r w:rsidR="007C1DE6">
        <w:rPr>
          <w:lang w:eastAsia="en-CA"/>
        </w:rPr>
        <w:t xml:space="preserve"> </w:t>
      </w:r>
      <w:r w:rsidR="007D0206">
        <w:rPr>
          <w:lang w:eastAsia="en-CA"/>
        </w:rPr>
        <w:t xml:space="preserve">The latter are </w:t>
      </w:r>
      <w:r w:rsidR="008C50B2">
        <w:rPr>
          <w:lang w:eastAsia="en-CA"/>
        </w:rPr>
        <w:t>called</w:t>
      </w:r>
      <w:r w:rsidR="007D0206">
        <w:rPr>
          <w:lang w:eastAsia="en-CA"/>
        </w:rPr>
        <w:t xml:space="preserve"> “no oral amendment”, or “NOM” clauses. </w:t>
      </w:r>
    </w:p>
    <w:p w14:paraId="33666064" w14:textId="242F5999" w:rsidR="00F71161" w:rsidRPr="007D0206" w:rsidRDefault="007D0206" w:rsidP="0040685F">
      <w:pPr>
        <w:rPr>
          <w:lang w:eastAsia="en-CA"/>
        </w:rPr>
      </w:pPr>
      <w:r>
        <w:rPr>
          <w:lang w:eastAsia="en-CA"/>
        </w:rPr>
        <w:t xml:space="preserve">The NOM clause in </w:t>
      </w:r>
      <w:proofErr w:type="spellStart"/>
      <w:r>
        <w:rPr>
          <w:i/>
          <w:lang w:eastAsia="en-CA"/>
        </w:rPr>
        <w:t>Shelanu</w:t>
      </w:r>
      <w:proofErr w:type="spellEnd"/>
      <w:r w:rsidR="00D9338A">
        <w:rPr>
          <w:i/>
          <w:lang w:eastAsia="en-CA"/>
        </w:rPr>
        <w:t xml:space="preserve"> </w:t>
      </w:r>
      <w:r w:rsidR="00D9338A">
        <w:rPr>
          <w:iCs/>
          <w:lang w:eastAsia="en-CA"/>
        </w:rPr>
        <w:t>is typical. It</w:t>
      </w:r>
      <w:r>
        <w:rPr>
          <w:i/>
          <w:lang w:eastAsia="en-CA"/>
        </w:rPr>
        <w:t xml:space="preserve"> </w:t>
      </w:r>
      <w:r w:rsidR="000A7F7A">
        <w:rPr>
          <w:lang w:eastAsia="en-CA"/>
        </w:rPr>
        <w:t>read,</w:t>
      </w:r>
      <w:r>
        <w:rPr>
          <w:lang w:eastAsia="en-CA"/>
        </w:rPr>
        <w:t xml:space="preserve"> </w:t>
      </w:r>
      <w:r w:rsidRPr="00756759">
        <w:t>“</w:t>
      </w:r>
      <w:r w:rsidRPr="00756759">
        <w:rPr>
          <w:shd w:val="clear" w:color="auto" w:fill="FFFFFF"/>
        </w:rPr>
        <w:t>No waiver, amendment or change of any of the terms or covenants of this Agreement or non-compliance therewith, shall be binding or effective unless effected by a notice signed by any and all parties hereto.”</w:t>
      </w:r>
      <w:r w:rsidR="00712E68">
        <w:rPr>
          <w:rStyle w:val="FootnoteReference"/>
          <w:shd w:val="clear" w:color="auto" w:fill="FFFFFF"/>
        </w:rPr>
        <w:footnoteReference w:id="34"/>
      </w:r>
    </w:p>
    <w:p w14:paraId="798CB3FE" w14:textId="1A08C0F9" w:rsidR="00A704C0" w:rsidRDefault="008E78A9" w:rsidP="0040685F">
      <w:pPr>
        <w:rPr>
          <w:lang w:eastAsia="en-CA"/>
        </w:rPr>
      </w:pPr>
      <w:r>
        <w:rPr>
          <w:color w:val="000000"/>
          <w:shd w:val="clear" w:color="auto" w:fill="FFFFFF"/>
        </w:rPr>
        <w:t>A</w:t>
      </w:r>
      <w:r w:rsidR="0047491A">
        <w:rPr>
          <w:lang w:eastAsia="en-CA"/>
        </w:rPr>
        <w:t xml:space="preserve"> </w:t>
      </w:r>
      <w:r w:rsidR="007D0206">
        <w:rPr>
          <w:lang w:eastAsia="en-CA"/>
        </w:rPr>
        <w:t>NOM</w:t>
      </w:r>
      <w:r w:rsidR="00C302F4">
        <w:rPr>
          <w:lang w:eastAsia="en-CA"/>
        </w:rPr>
        <w:t xml:space="preserve"> </w:t>
      </w:r>
      <w:r w:rsidR="0047491A">
        <w:rPr>
          <w:lang w:eastAsia="en-CA"/>
        </w:rPr>
        <w:t>clause</w:t>
      </w:r>
      <w:r w:rsidR="007D0206">
        <w:rPr>
          <w:lang w:eastAsia="en-CA"/>
        </w:rPr>
        <w:t xml:space="preserve"> </w:t>
      </w:r>
      <w:r w:rsidR="0047491A">
        <w:rPr>
          <w:lang w:eastAsia="en-CA"/>
        </w:rPr>
        <w:t>create</w:t>
      </w:r>
      <w:r>
        <w:rPr>
          <w:lang w:eastAsia="en-CA"/>
        </w:rPr>
        <w:t>s</w:t>
      </w:r>
      <w:r w:rsidR="0047491A">
        <w:rPr>
          <w:lang w:eastAsia="en-CA"/>
        </w:rPr>
        <w:t xml:space="preserve"> a conflict </w:t>
      </w:r>
      <w:r w:rsidR="00883C2F">
        <w:rPr>
          <w:lang w:eastAsia="en-CA"/>
        </w:rPr>
        <w:t>between</w:t>
      </w:r>
      <w:r w:rsidR="0047491A">
        <w:rPr>
          <w:lang w:eastAsia="en-CA"/>
        </w:rPr>
        <w:t xml:space="preserve"> two </w:t>
      </w:r>
      <w:r w:rsidR="00F5144D">
        <w:rPr>
          <w:lang w:eastAsia="en-CA"/>
        </w:rPr>
        <w:t xml:space="preserve">contract law </w:t>
      </w:r>
      <w:r w:rsidR="0047491A">
        <w:rPr>
          <w:lang w:eastAsia="en-CA"/>
        </w:rPr>
        <w:t xml:space="preserve">principles: </w:t>
      </w:r>
      <w:r w:rsidR="00ED5963">
        <w:rPr>
          <w:lang w:eastAsia="en-CA"/>
        </w:rPr>
        <w:t xml:space="preserve">the </w:t>
      </w:r>
      <w:r w:rsidR="0047491A">
        <w:rPr>
          <w:lang w:eastAsia="en-CA"/>
        </w:rPr>
        <w:t xml:space="preserve">freedom </w:t>
      </w:r>
      <w:r w:rsidR="00ED5963">
        <w:rPr>
          <w:lang w:eastAsia="en-CA"/>
        </w:rPr>
        <w:t>of parties to bind themselves and the fre</w:t>
      </w:r>
      <w:r w:rsidR="009F10F5">
        <w:rPr>
          <w:lang w:eastAsia="en-CA"/>
        </w:rPr>
        <w:t xml:space="preserve">edom of parties to change </w:t>
      </w:r>
      <w:r w:rsidR="00ED5963">
        <w:rPr>
          <w:lang w:eastAsia="en-CA"/>
        </w:rPr>
        <w:t>contractual relationships.</w:t>
      </w:r>
      <w:r w:rsidR="00B05A59">
        <w:rPr>
          <w:lang w:eastAsia="en-CA"/>
        </w:rPr>
        <w:t xml:space="preserve"> </w:t>
      </w:r>
      <w:r>
        <w:rPr>
          <w:lang w:eastAsia="en-CA"/>
        </w:rPr>
        <w:t xml:space="preserve">A </w:t>
      </w:r>
      <w:r w:rsidR="00C302F4">
        <w:rPr>
          <w:lang w:eastAsia="en-CA"/>
        </w:rPr>
        <w:t>NOM clause</w:t>
      </w:r>
      <w:r>
        <w:rPr>
          <w:lang w:eastAsia="en-CA"/>
        </w:rPr>
        <w:t xml:space="preserve"> </w:t>
      </w:r>
      <w:r w:rsidR="00B05A59">
        <w:rPr>
          <w:lang w:eastAsia="en-CA"/>
        </w:rPr>
        <w:t xml:space="preserve">also </w:t>
      </w:r>
      <w:r w:rsidR="00F13490">
        <w:rPr>
          <w:lang w:eastAsia="en-CA"/>
        </w:rPr>
        <w:t>create</w:t>
      </w:r>
      <w:r w:rsidR="00651168">
        <w:rPr>
          <w:lang w:eastAsia="en-CA"/>
        </w:rPr>
        <w:t>s</w:t>
      </w:r>
      <w:r w:rsidR="00F13490">
        <w:rPr>
          <w:lang w:eastAsia="en-CA"/>
        </w:rPr>
        <w:t xml:space="preserve"> a contractual paradox</w:t>
      </w:r>
      <w:r w:rsidR="0094754E">
        <w:rPr>
          <w:lang w:eastAsia="en-CA"/>
        </w:rPr>
        <w:t xml:space="preserve"> </w:t>
      </w:r>
      <w:r w:rsidR="00A704C0">
        <w:rPr>
          <w:lang w:eastAsia="en-CA"/>
        </w:rPr>
        <w:t xml:space="preserve">in which </w:t>
      </w:r>
      <w:r w:rsidR="0094754E">
        <w:rPr>
          <w:lang w:eastAsia="en-CA"/>
        </w:rPr>
        <w:t xml:space="preserve">the freedom </w:t>
      </w:r>
      <w:r w:rsidR="00A807BA">
        <w:rPr>
          <w:lang w:eastAsia="en-CA"/>
        </w:rPr>
        <w:t>to contract</w:t>
      </w:r>
      <w:r w:rsidR="00651168">
        <w:rPr>
          <w:lang w:eastAsia="en-CA"/>
        </w:rPr>
        <w:t xml:space="preserve"> </w:t>
      </w:r>
      <w:r w:rsidR="00A807BA">
        <w:rPr>
          <w:lang w:eastAsia="en-CA"/>
        </w:rPr>
        <w:t>extend</w:t>
      </w:r>
      <w:r w:rsidR="00651168">
        <w:rPr>
          <w:lang w:eastAsia="en-CA"/>
        </w:rPr>
        <w:t>s</w:t>
      </w:r>
      <w:r w:rsidR="00A807BA">
        <w:rPr>
          <w:lang w:eastAsia="en-CA"/>
        </w:rPr>
        <w:t xml:space="preserve"> to </w:t>
      </w:r>
      <w:r w:rsidR="00E763BD">
        <w:rPr>
          <w:lang w:eastAsia="en-CA"/>
        </w:rPr>
        <w:t xml:space="preserve">the right to voluntarily limit that freedom. </w:t>
      </w:r>
    </w:p>
    <w:p w14:paraId="25E2050C" w14:textId="0D80904F" w:rsidR="00DF73F5" w:rsidRPr="00407F04" w:rsidRDefault="00BD7BCA" w:rsidP="0040685F">
      <w:pPr>
        <w:rPr>
          <w:lang w:eastAsia="en-CA"/>
        </w:rPr>
      </w:pPr>
      <w:r>
        <w:rPr>
          <w:lang w:eastAsia="en-CA"/>
        </w:rPr>
        <w:t xml:space="preserve">The Court of Appeal in </w:t>
      </w:r>
      <w:proofErr w:type="spellStart"/>
      <w:r>
        <w:rPr>
          <w:i/>
          <w:lang w:eastAsia="en-CA"/>
        </w:rPr>
        <w:t>Shelanu</w:t>
      </w:r>
      <w:proofErr w:type="spellEnd"/>
      <w:r>
        <w:rPr>
          <w:i/>
          <w:lang w:eastAsia="en-CA"/>
        </w:rPr>
        <w:t xml:space="preserve"> </w:t>
      </w:r>
      <w:r>
        <w:rPr>
          <w:lang w:eastAsia="en-CA"/>
        </w:rPr>
        <w:t xml:space="preserve">did not have to reconcile these two conflicting concepts </w:t>
      </w:r>
      <w:r w:rsidR="000B7560">
        <w:rPr>
          <w:lang w:eastAsia="en-CA"/>
        </w:rPr>
        <w:t xml:space="preserve">because it found that the oral agreement was separate and apart from the written contract. </w:t>
      </w:r>
      <w:r w:rsidR="009914A8">
        <w:rPr>
          <w:lang w:eastAsia="en-CA"/>
        </w:rPr>
        <w:t xml:space="preserve">In </w:t>
      </w:r>
      <w:r w:rsidR="009914A8">
        <w:rPr>
          <w:i/>
        </w:rPr>
        <w:t>6646107 Canada v. The TDL</w:t>
      </w:r>
      <w:r w:rsidR="009914A8">
        <w:t xml:space="preserve">, </w:t>
      </w:r>
      <w:r w:rsidR="009914A8">
        <w:rPr>
          <w:lang w:eastAsia="en-CA"/>
        </w:rPr>
        <w:t xml:space="preserve">the </w:t>
      </w:r>
      <w:r w:rsidR="009914A8">
        <w:rPr>
          <w:lang w:eastAsia="en-CA"/>
        </w:rPr>
        <w:lastRenderedPageBreak/>
        <w:t xml:space="preserve">Ontario </w:t>
      </w:r>
      <w:r w:rsidR="00526BD9">
        <w:rPr>
          <w:lang w:eastAsia="en-CA"/>
        </w:rPr>
        <w:t>Superior Court</w:t>
      </w:r>
      <w:r w:rsidR="00C852FB">
        <w:rPr>
          <w:iCs/>
          <w:color w:val="000000"/>
          <w:shd w:val="clear" w:color="auto" w:fill="FFFFFF"/>
        </w:rPr>
        <w:t xml:space="preserve"> </w:t>
      </w:r>
      <w:r w:rsidR="00DF73F5">
        <w:rPr>
          <w:color w:val="000000"/>
          <w:shd w:val="clear" w:color="auto" w:fill="FFFFFF"/>
        </w:rPr>
        <w:t xml:space="preserve">held that the oral agreement </w:t>
      </w:r>
      <w:r w:rsidR="00DF73F5" w:rsidRPr="00F71161">
        <w:rPr>
          <w:i/>
          <w:iCs/>
          <w:color w:val="000000"/>
          <w:shd w:val="clear" w:color="auto" w:fill="FFFFFF"/>
        </w:rPr>
        <w:t>could</w:t>
      </w:r>
      <w:r w:rsidR="00DF73F5">
        <w:rPr>
          <w:color w:val="000000"/>
          <w:shd w:val="clear" w:color="auto" w:fill="FFFFFF"/>
        </w:rPr>
        <w:t xml:space="preserve"> be a separate contract rather than an attempt to renew,</w:t>
      </w:r>
      <w:r w:rsidR="002A500D">
        <w:rPr>
          <w:color w:val="000000"/>
          <w:shd w:val="clear" w:color="auto" w:fill="FFFFFF"/>
        </w:rPr>
        <w:t xml:space="preserve"> but did not decide the issue.</w:t>
      </w:r>
      <w:r w:rsidR="00DF73F5">
        <w:rPr>
          <w:rStyle w:val="FootnoteReference"/>
          <w:color w:val="000000"/>
          <w:shd w:val="clear" w:color="auto" w:fill="FFFFFF"/>
        </w:rPr>
        <w:footnoteReference w:id="35"/>
      </w:r>
      <w:r w:rsidR="00DF73F5">
        <w:rPr>
          <w:color w:val="000000"/>
          <w:shd w:val="clear" w:color="auto" w:fill="FFFFFF"/>
        </w:rPr>
        <w:t xml:space="preserve"> </w:t>
      </w:r>
    </w:p>
    <w:p w14:paraId="53E69136" w14:textId="57C8F099" w:rsidR="002B3230" w:rsidRDefault="00C852FB" w:rsidP="0040685F">
      <w:r>
        <w:rPr>
          <w:lang w:eastAsia="en-CA"/>
        </w:rPr>
        <w:t>O</w:t>
      </w:r>
      <w:r w:rsidR="00C716A6">
        <w:rPr>
          <w:lang w:eastAsia="en-CA"/>
        </w:rPr>
        <w:t xml:space="preserve">ther courts have grappled </w:t>
      </w:r>
      <w:r w:rsidR="00525024">
        <w:rPr>
          <w:lang w:eastAsia="en-CA"/>
        </w:rPr>
        <w:t xml:space="preserve">head on </w:t>
      </w:r>
      <w:r w:rsidR="00C716A6">
        <w:rPr>
          <w:lang w:eastAsia="en-CA"/>
        </w:rPr>
        <w:t xml:space="preserve">with apparent oral variations to the very contracts that expressly prohibited </w:t>
      </w:r>
      <w:r w:rsidR="002A500D">
        <w:rPr>
          <w:lang w:eastAsia="en-CA"/>
        </w:rPr>
        <w:t>such informal amendments</w:t>
      </w:r>
      <w:r w:rsidR="004C364D">
        <w:rPr>
          <w:lang w:eastAsia="en-CA"/>
        </w:rPr>
        <w:t>, and the</w:t>
      </w:r>
      <w:r w:rsidR="003B450E">
        <w:t xml:space="preserve"> jurisprudence on NOM </w:t>
      </w:r>
      <w:r w:rsidR="009922ED">
        <w:t>at first blush appears mixed</w:t>
      </w:r>
      <w:r w:rsidR="00A60143">
        <w:t>. Alberta</w:t>
      </w:r>
      <w:r w:rsidR="00ED0B2B">
        <w:t xml:space="preserve"> </w:t>
      </w:r>
      <w:r w:rsidR="00113F81">
        <w:t xml:space="preserve">courts seem to </w:t>
      </w:r>
      <w:proofErr w:type="spellStart"/>
      <w:r w:rsidR="00113F81">
        <w:t>favour</w:t>
      </w:r>
      <w:proofErr w:type="spellEnd"/>
      <w:r w:rsidR="00ED0B2B">
        <w:t xml:space="preserve"> strict enforcement </w:t>
      </w:r>
      <w:r w:rsidR="00A000D2">
        <w:t>of NOM clauses while Ontario,</w:t>
      </w:r>
      <w:r w:rsidR="00ED0B2B">
        <w:t xml:space="preserve"> British Columbia</w:t>
      </w:r>
      <w:r w:rsidR="00A000D2">
        <w:t xml:space="preserve"> and Nova Scotia</w:t>
      </w:r>
      <w:r w:rsidR="00ED0B2B">
        <w:t xml:space="preserve"> court</w:t>
      </w:r>
      <w:r w:rsidR="009E0651">
        <w:t>s</w:t>
      </w:r>
      <w:r w:rsidR="00ED0B2B">
        <w:t xml:space="preserve"> </w:t>
      </w:r>
      <w:r w:rsidR="00DA1F22">
        <w:t>take a</w:t>
      </w:r>
      <w:r w:rsidR="00ED0B2B">
        <w:t xml:space="preserve"> more nuanced</w:t>
      </w:r>
      <w:r w:rsidR="00DA1F22">
        <w:t xml:space="preserve"> approach</w:t>
      </w:r>
      <w:r w:rsidR="00ED0B2B">
        <w:t>.</w:t>
      </w:r>
      <w:r w:rsidR="003B450E">
        <w:t xml:space="preserve"> </w:t>
      </w:r>
      <w:r w:rsidR="000A7F7A">
        <w:t>However,</w:t>
      </w:r>
      <w:r w:rsidR="003B450E">
        <w:t xml:space="preserve"> these distinctions can again be reconciled by looking at the facts of each case. Courts that enforce NOM clauses invariably </w:t>
      </w:r>
      <w:r w:rsidR="00582A33">
        <w:t>find the evidence of the alleged</w:t>
      </w:r>
      <w:r w:rsidR="001D7EB7">
        <w:t xml:space="preserve"> oral</w:t>
      </w:r>
      <w:r w:rsidR="00582A33">
        <w:t xml:space="preserve"> variation to be weak</w:t>
      </w:r>
      <w:r w:rsidR="008C50B2">
        <w:t xml:space="preserve"> and not reflective of the parties’ intentions</w:t>
      </w:r>
      <w:r w:rsidR="00582A33">
        <w:t xml:space="preserve">. </w:t>
      </w:r>
    </w:p>
    <w:p w14:paraId="180A7B39" w14:textId="529AA6A2" w:rsidR="00CE37D6" w:rsidRPr="00CE37D6" w:rsidRDefault="00CD5B23" w:rsidP="0040685F">
      <w:pPr>
        <w:rPr>
          <w:iCs/>
        </w:rPr>
      </w:pPr>
      <w:r>
        <w:t xml:space="preserve">This </w:t>
      </w:r>
      <w:r w:rsidR="008C50B2">
        <w:t xml:space="preserve">divergence </w:t>
      </w:r>
      <w:r>
        <w:t>is most evident in</w:t>
      </w:r>
      <w:r w:rsidR="008C50B2">
        <w:t xml:space="preserve"> Ontario</w:t>
      </w:r>
      <w:r w:rsidR="00CE37D6">
        <w:t xml:space="preserve">. </w:t>
      </w:r>
      <w:r w:rsidR="00CE37D6" w:rsidRPr="00CE37D6">
        <w:rPr>
          <w:iCs/>
        </w:rPr>
        <w:t xml:space="preserve">Trial level courts in </w:t>
      </w:r>
      <w:r w:rsidR="00CE37D6" w:rsidRPr="00CE37D6">
        <w:rPr>
          <w:i/>
          <w:iCs/>
        </w:rPr>
        <w:t>Toronto Dominion Bank v. 1745361</w:t>
      </w:r>
      <w:r w:rsidR="00CE37D6" w:rsidRPr="00CE37D6">
        <w:rPr>
          <w:iCs/>
        </w:rPr>
        <w:t xml:space="preserve">, </w:t>
      </w:r>
      <w:r w:rsidR="00CE37D6" w:rsidRPr="00CE37D6">
        <w:rPr>
          <w:i/>
          <w:iCs/>
        </w:rPr>
        <w:t>Toronto Dominion Bank v. Turk</w:t>
      </w:r>
      <w:r w:rsidR="00CE37D6" w:rsidRPr="00CE37D6">
        <w:rPr>
          <w:iCs/>
        </w:rPr>
        <w:t xml:space="preserve">, and </w:t>
      </w:r>
      <w:r w:rsidR="00CE37D6" w:rsidRPr="00CE37D6">
        <w:rPr>
          <w:i/>
          <w:iCs/>
        </w:rPr>
        <w:t xml:space="preserve">Honey Bee v. </w:t>
      </w:r>
      <w:proofErr w:type="spellStart"/>
      <w:r w:rsidR="00CE37D6" w:rsidRPr="00CE37D6">
        <w:rPr>
          <w:i/>
          <w:iCs/>
        </w:rPr>
        <w:t>VitaSound</w:t>
      </w:r>
      <w:proofErr w:type="spellEnd"/>
      <w:r w:rsidR="00CE37D6" w:rsidRPr="00CE37D6">
        <w:rPr>
          <w:i/>
          <w:iCs/>
        </w:rPr>
        <w:t xml:space="preserve"> Audio</w:t>
      </w:r>
      <w:r w:rsidR="00CE37D6" w:rsidRPr="00CE37D6">
        <w:rPr>
          <w:iCs/>
        </w:rPr>
        <w:t xml:space="preserve"> rejected alleged oral amendments to contracts with NOM clauses. In all three cases, the evidence supporting the alleged oral agreements was </w:t>
      </w:r>
      <w:r w:rsidR="008C77EA">
        <w:rPr>
          <w:iCs/>
        </w:rPr>
        <w:t>unconvincing</w:t>
      </w:r>
      <w:r w:rsidR="00CE37D6" w:rsidRPr="00CE37D6">
        <w:rPr>
          <w:iCs/>
        </w:rPr>
        <w:t>.</w:t>
      </w:r>
      <w:r w:rsidR="00CE37D6" w:rsidRPr="00CE37D6">
        <w:rPr>
          <w:iCs/>
          <w:vertAlign w:val="superscript"/>
        </w:rPr>
        <w:footnoteReference w:id="36"/>
      </w:r>
      <w:r w:rsidR="00CE37D6" w:rsidRPr="00CE37D6">
        <w:rPr>
          <w:iCs/>
        </w:rPr>
        <w:t xml:space="preserve"> In </w:t>
      </w:r>
      <w:r w:rsidR="008C50B2">
        <w:rPr>
          <w:iCs/>
        </w:rPr>
        <w:t xml:space="preserve">the </w:t>
      </w:r>
      <w:r w:rsidR="00CE37D6" w:rsidRPr="00CE37D6">
        <w:rPr>
          <w:i/>
          <w:iCs/>
        </w:rPr>
        <w:t>Turk</w:t>
      </w:r>
      <w:r w:rsidR="008C50B2">
        <w:rPr>
          <w:i/>
          <w:iCs/>
        </w:rPr>
        <w:t xml:space="preserve"> </w:t>
      </w:r>
      <w:r w:rsidR="008C50B2">
        <w:rPr>
          <w:iCs/>
        </w:rPr>
        <w:t>case</w:t>
      </w:r>
      <w:r w:rsidR="00CE37D6" w:rsidRPr="00CE37D6">
        <w:rPr>
          <w:iCs/>
        </w:rPr>
        <w:t xml:space="preserve">, </w:t>
      </w:r>
      <w:r w:rsidR="008C50B2">
        <w:rPr>
          <w:iCs/>
        </w:rPr>
        <w:t xml:space="preserve">the </w:t>
      </w:r>
      <w:r w:rsidR="00CE37D6" w:rsidRPr="00CE37D6">
        <w:rPr>
          <w:iCs/>
        </w:rPr>
        <w:t xml:space="preserve">Ontario Court </w:t>
      </w:r>
      <w:r w:rsidR="00CE37D6" w:rsidRPr="00CE37D6">
        <w:rPr>
          <w:iCs/>
        </w:rPr>
        <w:lastRenderedPageBreak/>
        <w:t xml:space="preserve">Appeal </w:t>
      </w:r>
      <w:r w:rsidR="008C50B2">
        <w:rPr>
          <w:iCs/>
        </w:rPr>
        <w:t xml:space="preserve">later </w:t>
      </w:r>
      <w:r w:rsidR="00CE37D6" w:rsidRPr="00CE37D6">
        <w:rPr>
          <w:iCs/>
        </w:rPr>
        <w:t>described the alleged oral agreement as lacking “an air of reality”.</w:t>
      </w:r>
      <w:r w:rsidR="00CE37D6" w:rsidRPr="00CE37D6">
        <w:rPr>
          <w:iCs/>
          <w:vertAlign w:val="superscript"/>
        </w:rPr>
        <w:footnoteReference w:id="37"/>
      </w:r>
      <w:r w:rsidR="00CE37D6" w:rsidRPr="00CE37D6">
        <w:rPr>
          <w:iCs/>
        </w:rPr>
        <w:t xml:space="preserve"> </w:t>
      </w:r>
    </w:p>
    <w:p w14:paraId="3043AA44" w14:textId="0F93076D" w:rsidR="00526BD9" w:rsidRDefault="00B24FF4" w:rsidP="0040685F">
      <w:r>
        <w:t>On the other side of the ledger are cases following the Ontario Court of Appeal’s decision in</w:t>
      </w:r>
      <w:r w:rsidR="00526BD9">
        <w:t xml:space="preserve"> </w:t>
      </w:r>
      <w:proofErr w:type="spellStart"/>
      <w:r w:rsidR="00526BD9">
        <w:rPr>
          <w:i/>
          <w:iCs/>
        </w:rPr>
        <w:t>Colautti</w:t>
      </w:r>
      <w:proofErr w:type="spellEnd"/>
      <w:r w:rsidR="00526BD9">
        <w:rPr>
          <w:i/>
          <w:iCs/>
        </w:rPr>
        <w:t xml:space="preserve"> Construction v. Ottawa</w:t>
      </w:r>
      <w:r w:rsidR="00526BD9">
        <w:rPr>
          <w:iCs/>
        </w:rPr>
        <w:t xml:space="preserve">. </w:t>
      </w:r>
      <w:proofErr w:type="spellStart"/>
      <w:r w:rsidR="00D4724F">
        <w:rPr>
          <w:i/>
        </w:rPr>
        <w:t>Colautti</w:t>
      </w:r>
      <w:proofErr w:type="spellEnd"/>
      <w:r w:rsidR="00D4724F">
        <w:rPr>
          <w:i/>
        </w:rPr>
        <w:t xml:space="preserve"> </w:t>
      </w:r>
      <w:r w:rsidR="00D4724F">
        <w:rPr>
          <w:iCs/>
        </w:rPr>
        <w:t xml:space="preserve">involved a </w:t>
      </w:r>
      <w:r w:rsidR="008C50B2">
        <w:rPr>
          <w:iCs/>
        </w:rPr>
        <w:t xml:space="preserve">construction </w:t>
      </w:r>
      <w:r w:rsidR="00D4724F">
        <w:rPr>
          <w:iCs/>
        </w:rPr>
        <w:t xml:space="preserve">contract that </w:t>
      </w:r>
      <w:r w:rsidR="00D4724F">
        <w:t>required all additional charges to be in writing.</w:t>
      </w:r>
      <w:r w:rsidR="00D4724F">
        <w:rPr>
          <w:iCs/>
        </w:rPr>
        <w:t xml:space="preserve"> However, the Court of Appeal</w:t>
      </w:r>
      <w:r w:rsidR="002B113A">
        <w:rPr>
          <w:iCs/>
        </w:rPr>
        <w:t xml:space="preserve"> held </w:t>
      </w:r>
      <w:r w:rsidR="00526BD9">
        <w:t>that the parties had</w:t>
      </w:r>
      <w:r w:rsidR="00B21A51">
        <w:t xml:space="preserve"> </w:t>
      </w:r>
      <w:r w:rsidR="00526BD9">
        <w:t xml:space="preserve">varied </w:t>
      </w:r>
      <w:r w:rsidR="000644A9">
        <w:t>that contractual term</w:t>
      </w:r>
      <w:r w:rsidR="00B21A51">
        <w:t xml:space="preserve"> by their conduct</w:t>
      </w:r>
      <w:r w:rsidR="00526BD9">
        <w:t xml:space="preserve">. The </w:t>
      </w:r>
      <w:r w:rsidR="00AE0534">
        <w:t>C</w:t>
      </w:r>
      <w:r w:rsidR="00526BD9">
        <w:t xml:space="preserve">ourt </w:t>
      </w:r>
      <w:r w:rsidR="00AE0534">
        <w:t xml:space="preserve">of Appeal </w:t>
      </w:r>
      <w:r w:rsidR="00526BD9">
        <w:t>relied on the city’s payment of earlier charges lacking written authorization as proof of the parties’ intention to modify their written agreement.</w:t>
      </w:r>
      <w:r w:rsidR="00526BD9">
        <w:rPr>
          <w:rStyle w:val="FootnoteReference"/>
        </w:rPr>
        <w:footnoteReference w:id="38"/>
      </w:r>
    </w:p>
    <w:p w14:paraId="0C850ED8" w14:textId="4A30F87D" w:rsidR="00526BD9" w:rsidRPr="00655850" w:rsidRDefault="004D77B7" w:rsidP="0040685F">
      <w:pPr>
        <w:rPr>
          <w:rFonts w:cs="Arial"/>
        </w:rPr>
      </w:pPr>
      <w:proofErr w:type="spellStart"/>
      <w:r>
        <w:rPr>
          <w:i/>
          <w:iCs/>
        </w:rPr>
        <w:t>Colautti</w:t>
      </w:r>
      <w:proofErr w:type="spellEnd"/>
      <w:r>
        <w:rPr>
          <w:i/>
          <w:iCs/>
        </w:rPr>
        <w:t xml:space="preserve"> </w:t>
      </w:r>
      <w:r w:rsidR="00C22F5A">
        <w:t xml:space="preserve">has been followed </w:t>
      </w:r>
      <w:r w:rsidR="00F57E38">
        <w:t xml:space="preserve">in and </w:t>
      </w:r>
      <w:r w:rsidR="00C22F5A">
        <w:t xml:space="preserve">outside Ontario. In </w:t>
      </w:r>
      <w:proofErr w:type="spellStart"/>
      <w:r w:rsidR="00C22F5A">
        <w:rPr>
          <w:i/>
          <w:iCs/>
        </w:rPr>
        <w:t>Craigdarloch</w:t>
      </w:r>
      <w:proofErr w:type="spellEnd"/>
      <w:r w:rsidR="00C22F5A">
        <w:rPr>
          <w:i/>
          <w:iCs/>
        </w:rPr>
        <w:t xml:space="preserve"> Holdings v. </w:t>
      </w:r>
      <w:proofErr w:type="spellStart"/>
      <w:r w:rsidR="00C22F5A">
        <w:rPr>
          <w:i/>
          <w:iCs/>
        </w:rPr>
        <w:t>Syscon</w:t>
      </w:r>
      <w:proofErr w:type="spellEnd"/>
      <w:r w:rsidR="00C22F5A">
        <w:rPr>
          <w:i/>
          <w:iCs/>
        </w:rPr>
        <w:t xml:space="preserve"> Justice Systems</w:t>
      </w:r>
      <w:r w:rsidR="00526BD9">
        <w:rPr>
          <w:iCs/>
        </w:rPr>
        <w:t xml:space="preserve">, the B.C. Supreme Court cited </w:t>
      </w:r>
      <w:proofErr w:type="spellStart"/>
      <w:r w:rsidR="00526BD9">
        <w:rPr>
          <w:i/>
          <w:iCs/>
        </w:rPr>
        <w:t>Colautti</w:t>
      </w:r>
      <w:proofErr w:type="spellEnd"/>
      <w:r w:rsidR="00526BD9">
        <w:rPr>
          <w:i/>
          <w:iCs/>
        </w:rPr>
        <w:t xml:space="preserve"> </w:t>
      </w:r>
      <w:r w:rsidR="00526BD9">
        <w:rPr>
          <w:iCs/>
        </w:rPr>
        <w:t xml:space="preserve">in refusing to enforce a NOM clause that was inconsistent with the parties’ conduct. As the plaintiff had previously declared the agreement </w:t>
      </w:r>
      <w:r w:rsidR="00526BD9">
        <w:t xml:space="preserve">containing the NOM clause to be non-binding, the court rejected its attempt to rely on </w:t>
      </w:r>
      <w:r w:rsidR="00F57E38">
        <w:t>the NOM clause at trial</w:t>
      </w:r>
      <w:r w:rsidR="00526BD9">
        <w:t xml:space="preserve">. The court instead compensated the plaintiff for his work on a </w:t>
      </w:r>
      <w:r w:rsidR="00526BD9">
        <w:rPr>
          <w:i/>
        </w:rPr>
        <w:t xml:space="preserve">quantum </w:t>
      </w:r>
      <w:proofErr w:type="spellStart"/>
      <w:r w:rsidR="00526BD9">
        <w:rPr>
          <w:i/>
        </w:rPr>
        <w:t>meruit</w:t>
      </w:r>
      <w:proofErr w:type="spellEnd"/>
      <w:r w:rsidR="00526BD9">
        <w:rPr>
          <w:i/>
        </w:rPr>
        <w:t xml:space="preserve"> </w:t>
      </w:r>
      <w:r w:rsidR="00526BD9">
        <w:t>basis.</w:t>
      </w:r>
      <w:r w:rsidR="00526BD9">
        <w:rPr>
          <w:rStyle w:val="FootnoteReference"/>
        </w:rPr>
        <w:footnoteReference w:id="39"/>
      </w:r>
      <w:r w:rsidR="00526BD9">
        <w:t xml:space="preserve"> </w:t>
      </w:r>
      <w:r w:rsidR="007D4279">
        <w:t>Notably, t</w:t>
      </w:r>
      <w:r w:rsidR="00526BD9">
        <w:t xml:space="preserve">he court </w:t>
      </w:r>
      <w:r w:rsidR="007D4279">
        <w:t xml:space="preserve">also </w:t>
      </w:r>
      <w:r w:rsidR="00526BD9">
        <w:t xml:space="preserve">held </w:t>
      </w:r>
      <w:r w:rsidR="00526BD9">
        <w:lastRenderedPageBreak/>
        <w:t xml:space="preserve">that the </w:t>
      </w:r>
      <w:proofErr w:type="spellStart"/>
      <w:r w:rsidR="00526BD9">
        <w:t>parol</w:t>
      </w:r>
      <w:proofErr w:type="spellEnd"/>
      <w:r w:rsidR="00526BD9">
        <w:t xml:space="preserve"> evidence rule did not preclude it from recognizing the parties’ subsequent agreement to treat the written contract as non-operative</w:t>
      </w:r>
      <w:r w:rsidR="00526BD9">
        <w:rPr>
          <w:iCs/>
        </w:rPr>
        <w:t>.</w:t>
      </w:r>
      <w:r w:rsidR="00526BD9" w:rsidRPr="002269E7">
        <w:rPr>
          <w:rStyle w:val="FootnoteReference"/>
          <w:iCs/>
        </w:rPr>
        <w:footnoteReference w:id="40"/>
      </w:r>
    </w:p>
    <w:p w14:paraId="2176E845" w14:textId="4D83533D" w:rsidR="008D512F" w:rsidRPr="005503DD" w:rsidRDefault="00526BD9" w:rsidP="0040685F">
      <w:pPr>
        <w:rPr>
          <w:i/>
        </w:rPr>
      </w:pPr>
      <w:r>
        <w:t xml:space="preserve">In </w:t>
      </w:r>
      <w:r w:rsidRPr="006D7F3A">
        <w:rPr>
          <w:i/>
        </w:rPr>
        <w:t>Canadian Premier Life Insurance v</w:t>
      </w:r>
      <w:r>
        <w:rPr>
          <w:i/>
        </w:rPr>
        <w:t>.</w:t>
      </w:r>
      <w:r w:rsidRPr="006D7F3A">
        <w:rPr>
          <w:i/>
        </w:rPr>
        <w:t xml:space="preserve"> Sears Canada</w:t>
      </w:r>
      <w:r>
        <w:t xml:space="preserve">, decided within days of </w:t>
      </w:r>
      <w:proofErr w:type="spellStart"/>
      <w:r>
        <w:rPr>
          <w:i/>
          <w:iCs/>
        </w:rPr>
        <w:t>Craigdarloch</w:t>
      </w:r>
      <w:proofErr w:type="spellEnd"/>
      <w:r>
        <w:rPr>
          <w:iCs/>
        </w:rPr>
        <w:t xml:space="preserve">, </w:t>
      </w:r>
      <w:r>
        <w:t xml:space="preserve">the Ontario Superior Court of Justice queried whether the </w:t>
      </w:r>
      <w:proofErr w:type="spellStart"/>
      <w:r>
        <w:rPr>
          <w:i/>
        </w:rPr>
        <w:t>Colautti</w:t>
      </w:r>
      <w:proofErr w:type="spellEnd"/>
      <w:r>
        <w:rPr>
          <w:i/>
        </w:rPr>
        <w:t xml:space="preserve"> </w:t>
      </w:r>
      <w:r>
        <w:t xml:space="preserve">approach might survive post </w:t>
      </w:r>
      <w:proofErr w:type="spellStart"/>
      <w:r w:rsidR="005D0B7A">
        <w:rPr>
          <w:i/>
        </w:rPr>
        <w:t>Tercon</w:t>
      </w:r>
      <w:proofErr w:type="spellEnd"/>
      <w:r w:rsidR="005D0B7A">
        <w:rPr>
          <w:i/>
        </w:rPr>
        <w:t xml:space="preserve"> Contractors v. British Columbia</w:t>
      </w:r>
      <w:r w:rsidR="005D0B7A">
        <w:t>,</w:t>
      </w:r>
      <w:r>
        <w:t xml:space="preserve"> and the Supreme Court’s repudiation of “judicial discretion to depart from the terms of a valid contract </w:t>
      </w:r>
      <w:r w:rsidR="00C56DA0">
        <w:t xml:space="preserve">upon vague notions of ‘equity </w:t>
      </w:r>
      <w:r>
        <w:t>or ‘reasonableness’”.</w:t>
      </w:r>
      <w:r>
        <w:rPr>
          <w:rStyle w:val="FootnoteReference"/>
        </w:rPr>
        <w:footnoteReference w:id="41"/>
      </w:r>
      <w:r w:rsidR="005D0B7A">
        <w:t xml:space="preserve"> </w:t>
      </w:r>
      <w:r>
        <w:t xml:space="preserve">However, Ontario courts continue to use the </w:t>
      </w:r>
      <w:proofErr w:type="spellStart"/>
      <w:r>
        <w:rPr>
          <w:i/>
        </w:rPr>
        <w:t>Colautti</w:t>
      </w:r>
      <w:proofErr w:type="spellEnd"/>
      <w:r>
        <w:rPr>
          <w:i/>
        </w:rPr>
        <w:t xml:space="preserve"> </w:t>
      </w:r>
      <w:r>
        <w:t>approach</w:t>
      </w:r>
      <w:r>
        <w:rPr>
          <w:i/>
        </w:rPr>
        <w:t xml:space="preserve">. </w:t>
      </w:r>
      <w:r>
        <w:rPr>
          <w:iCs/>
        </w:rPr>
        <w:t xml:space="preserve">In </w:t>
      </w:r>
      <w:r>
        <w:rPr>
          <w:i/>
          <w:iCs/>
        </w:rPr>
        <w:t>466369 Ontario v. 2379078 Ontario</w:t>
      </w:r>
      <w:r>
        <w:rPr>
          <w:iCs/>
        </w:rPr>
        <w:t xml:space="preserve">, the Ontario Superior Court of Justice cited </w:t>
      </w:r>
      <w:proofErr w:type="spellStart"/>
      <w:r>
        <w:rPr>
          <w:i/>
          <w:iCs/>
        </w:rPr>
        <w:t>Colautti</w:t>
      </w:r>
      <w:proofErr w:type="spellEnd"/>
      <w:r>
        <w:rPr>
          <w:i/>
          <w:iCs/>
        </w:rPr>
        <w:t xml:space="preserve"> </w:t>
      </w:r>
      <w:r>
        <w:rPr>
          <w:iCs/>
        </w:rPr>
        <w:t>in enforcing an oral agreement to reduce rents despite a NOM clause.</w:t>
      </w:r>
      <w:r>
        <w:rPr>
          <w:rStyle w:val="FootnoteReference"/>
          <w:iCs/>
        </w:rPr>
        <w:footnoteReference w:id="42"/>
      </w:r>
      <w:r>
        <w:rPr>
          <w:iCs/>
        </w:rPr>
        <w:t xml:space="preserve"> </w:t>
      </w:r>
    </w:p>
    <w:p w14:paraId="266BBA9B" w14:textId="3B44391E" w:rsidR="000E7609" w:rsidRDefault="005A4A33" w:rsidP="0040685F">
      <w:r>
        <w:t xml:space="preserve">Nova Scotia jurisprudence supports a similarly permissive approach. In </w:t>
      </w:r>
      <w:r>
        <w:rPr>
          <w:i/>
        </w:rPr>
        <w:t>Archibald v. Action Management Inc</w:t>
      </w:r>
      <w:r>
        <w:t xml:space="preserve">, the Nova Scotia Court of Appeal enforced an oral agreement to “terminate” a lease on payment of a fixed sum despite a clause requiring any waiver of obligations under the lease </w:t>
      </w:r>
      <w:r>
        <w:lastRenderedPageBreak/>
        <w:t xml:space="preserve">to be in writing. </w:t>
      </w:r>
      <w:r w:rsidRPr="00655850">
        <w:t xml:space="preserve">The court held that </w:t>
      </w:r>
      <w:r w:rsidRPr="00655850">
        <w:rPr>
          <w:rFonts w:cs="Arial"/>
        </w:rPr>
        <w:t xml:space="preserve">the waiver clause did not bar a subsequent oral agreement to </w:t>
      </w:r>
      <w:r>
        <w:rPr>
          <w:rFonts w:cs="Arial"/>
        </w:rPr>
        <w:t>“</w:t>
      </w:r>
      <w:r w:rsidRPr="00655850">
        <w:rPr>
          <w:rFonts w:cs="Arial"/>
        </w:rPr>
        <w:t>terminate</w:t>
      </w:r>
      <w:r>
        <w:rPr>
          <w:rFonts w:cs="Arial"/>
        </w:rPr>
        <w:t>”</w:t>
      </w:r>
      <w:r w:rsidRPr="00655850">
        <w:rPr>
          <w:rFonts w:cs="Arial"/>
        </w:rPr>
        <w:t xml:space="preserve"> the lease as “[i]t </w:t>
      </w:r>
      <w:r w:rsidRPr="0064440A">
        <w:rPr>
          <w:rFonts w:eastAsia="Times New Roman" w:cs="Arial"/>
          <w:color w:val="000000"/>
          <w:shd w:val="clear" w:color="auto" w:fill="FFFFFF"/>
        </w:rPr>
        <w:t xml:space="preserve">cannot be said </w:t>
      </w:r>
      <w:r w:rsidRPr="00655850">
        <w:rPr>
          <w:rFonts w:eastAsia="Times New Roman" w:cs="Arial"/>
          <w:color w:val="000000"/>
          <w:shd w:val="clear" w:color="auto" w:fill="FFFFFF"/>
        </w:rPr>
        <w:t>[the waiver clause]</w:t>
      </w:r>
      <w:r w:rsidRPr="0064440A">
        <w:rPr>
          <w:rFonts w:eastAsia="Times New Roman" w:cs="Arial"/>
          <w:color w:val="000000"/>
          <w:shd w:val="clear" w:color="auto" w:fill="FFFFFF"/>
        </w:rPr>
        <w:t xml:space="preserve"> was clearly intended to cover any and all future contractual relations between the parties.</w:t>
      </w:r>
      <w:r w:rsidRPr="00655850">
        <w:rPr>
          <w:rFonts w:eastAsia="Times New Roman" w:cs="Arial"/>
          <w:color w:val="000000"/>
          <w:shd w:val="clear" w:color="auto" w:fill="FFFFFF"/>
        </w:rPr>
        <w:t>”</w:t>
      </w:r>
      <w:r>
        <w:rPr>
          <w:rStyle w:val="FootnoteReference"/>
        </w:rPr>
        <w:footnoteReference w:id="43"/>
      </w:r>
      <w:r>
        <w:t xml:space="preserve"> </w:t>
      </w:r>
    </w:p>
    <w:p w14:paraId="0CD5BE7D" w14:textId="4568406A" w:rsidR="005D0B7A" w:rsidRDefault="005A4A33" w:rsidP="0040685F">
      <w:r>
        <w:rPr>
          <w:iCs/>
        </w:rPr>
        <w:t xml:space="preserve">In contrast, </w:t>
      </w:r>
      <w:r w:rsidR="005D0B7A">
        <w:rPr>
          <w:iCs/>
        </w:rPr>
        <w:t>Alberta jurisprudence</w:t>
      </w:r>
      <w:r w:rsidR="00245427">
        <w:rPr>
          <w:iCs/>
        </w:rPr>
        <w:t xml:space="preserve"> is more deferential to </w:t>
      </w:r>
      <w:r w:rsidR="005D0B7A">
        <w:rPr>
          <w:iCs/>
        </w:rPr>
        <w:t xml:space="preserve">NOM clauses. </w:t>
      </w:r>
      <w:r w:rsidR="005D0B7A">
        <w:t xml:space="preserve">In </w:t>
      </w:r>
      <w:r w:rsidR="005D0B7A">
        <w:rPr>
          <w:i/>
          <w:iCs/>
        </w:rPr>
        <w:t>Gainers v. Pocklington Holdings</w:t>
      </w:r>
      <w:r w:rsidR="005D0B7A">
        <w:t>, the Alberta Court of Appeal overturned a</w:t>
      </w:r>
      <w:r w:rsidR="008C50B2">
        <w:t xml:space="preserve"> trial decision that accepted amendments to </w:t>
      </w:r>
      <w:r w:rsidR="005D0B7A">
        <w:t xml:space="preserve">management services contracts “by implication, conduct, oral discussions, or oral agreements”. The trial judge held that the defendant had </w:t>
      </w:r>
      <w:r w:rsidR="004177FF">
        <w:t xml:space="preserve">by these means </w:t>
      </w:r>
      <w:r w:rsidR="005D0B7A">
        <w:t>unilaterally and retroactively increased the contracts’ prescribed fees. The Alberta Court of Appeal disagreed. It found that the contracts</w:t>
      </w:r>
      <w:r w:rsidR="00CE63FA">
        <w:t>’</w:t>
      </w:r>
      <w:r w:rsidR="005D0B7A">
        <w:t xml:space="preserve"> entire agreement and NOM clauses “alone would suffice to prevent” the trial judge’s findings. The Alberta Court of Appeal expressly affirmed the right of parties to restrict their future ability to amend contracts through a writing requirement.</w:t>
      </w:r>
      <w:r w:rsidR="005D0B7A">
        <w:rPr>
          <w:rStyle w:val="FootnoteReference"/>
        </w:rPr>
        <w:footnoteReference w:id="44"/>
      </w:r>
      <w:r w:rsidR="005D0B7A">
        <w:t xml:space="preserve"> </w:t>
      </w:r>
    </w:p>
    <w:p w14:paraId="7EF96F7D" w14:textId="48835674" w:rsidR="005D0B7A" w:rsidRDefault="005D0B7A" w:rsidP="0040685F">
      <w:r>
        <w:t xml:space="preserve">In </w:t>
      </w:r>
      <w:r>
        <w:rPr>
          <w:i/>
        </w:rPr>
        <w:t>West Edmonton Mall v. Clock Gallery</w:t>
      </w:r>
      <w:r>
        <w:t xml:space="preserve">, the Alberta Court of Queen’s Bench rejected claims of an oral agreement to reduce rents in the face of a NOM clause. The court noted that NOM clauses allow “parties </w:t>
      </w:r>
      <w:r w:rsidRPr="001C5507">
        <w:t xml:space="preserve">to protect themselves from uncertainty (and the litigation that too often goes </w:t>
      </w:r>
      <w:r w:rsidRPr="001C5507">
        <w:lastRenderedPageBreak/>
        <w:t>with uncertainty) by agreeing to provisions that only that which is in writing is to have legal efficacy. I see nothing wrong with that. Certainty in contracts is to be desired.</w:t>
      </w:r>
      <w:r>
        <w:t>”</w:t>
      </w:r>
      <w:r>
        <w:rPr>
          <w:rStyle w:val="FootnoteReference"/>
        </w:rPr>
        <w:footnoteReference w:id="45"/>
      </w:r>
      <w:r>
        <w:t xml:space="preserve"> The court also distinguished entire agreement clauses—which cover pre-contractual representations—with NOM clauses that cover subsequent oral agreements. The court accepted that unlike entire agreement provisions, NOM clauses can—and do—bar post-contractual arrangements not committed to writing.</w:t>
      </w:r>
      <w:r>
        <w:rPr>
          <w:rStyle w:val="FootnoteReference"/>
        </w:rPr>
        <w:footnoteReference w:id="46"/>
      </w:r>
    </w:p>
    <w:p w14:paraId="42370373" w14:textId="4C4840B8" w:rsidR="005D0B7A" w:rsidRDefault="005D0B7A" w:rsidP="0040685F">
      <w:r>
        <w:t xml:space="preserve">The Alberta Queen’s Bench reached the same conclusion in </w:t>
      </w:r>
      <w:r>
        <w:rPr>
          <w:i/>
        </w:rPr>
        <w:t>Becker v. Jane Doe No 1</w:t>
      </w:r>
      <w:r>
        <w:t>, in which a tenant again relied on an alleged oral agreement to reduce rents prescribed in a contact with a NOM clause. The court found “nothing unconscionable about the clause. It is a fair clause benefiting both parties”.</w:t>
      </w:r>
      <w:r>
        <w:rPr>
          <w:rStyle w:val="FootnoteReference"/>
        </w:rPr>
        <w:footnoteReference w:id="47"/>
      </w:r>
      <w:r>
        <w:t xml:space="preserve"> The </w:t>
      </w:r>
      <w:r>
        <w:rPr>
          <w:i/>
        </w:rPr>
        <w:t xml:space="preserve">Becker </w:t>
      </w:r>
      <w:r>
        <w:t xml:space="preserve">court also cited </w:t>
      </w:r>
      <w:proofErr w:type="spellStart"/>
      <w:r>
        <w:rPr>
          <w:i/>
        </w:rPr>
        <w:t>Tercon</w:t>
      </w:r>
      <w:proofErr w:type="spellEnd"/>
      <w:r>
        <w:rPr>
          <w:i/>
        </w:rPr>
        <w:t xml:space="preserve"> </w:t>
      </w:r>
      <w:r>
        <w:t xml:space="preserve">and found no </w:t>
      </w:r>
      <w:r w:rsidR="000E7609">
        <w:t>overriding public policy to</w:t>
      </w:r>
      <w:r>
        <w:t xml:space="preserve"> militate against enforcing the NOM clause.</w:t>
      </w:r>
      <w:r>
        <w:rPr>
          <w:rStyle w:val="FootnoteReference"/>
        </w:rPr>
        <w:footnoteReference w:id="48"/>
      </w:r>
      <w:r>
        <w:t xml:space="preserve"> </w:t>
      </w:r>
    </w:p>
    <w:p w14:paraId="2EA894D5" w14:textId="61014C13" w:rsidR="008D512F" w:rsidRDefault="005A4A33" w:rsidP="0040685F">
      <w:pPr>
        <w:rPr>
          <w:iCs/>
        </w:rPr>
      </w:pPr>
      <w:r>
        <w:rPr>
          <w:iCs/>
        </w:rPr>
        <w:t>Despite the apparent strict approach to NOM clauses,</w:t>
      </w:r>
      <w:r w:rsidR="008D512F">
        <w:t xml:space="preserve"> the courts hearing each of the above </w:t>
      </w:r>
      <w:r>
        <w:t xml:space="preserve">Alberta </w:t>
      </w:r>
      <w:r w:rsidR="008D512F">
        <w:t>decisions</w:t>
      </w:r>
      <w:r w:rsidR="008D512F">
        <w:rPr>
          <w:iCs/>
        </w:rPr>
        <w:t xml:space="preserve"> mentioned a lack of evidence supporting the alleged oral amendments or the otherwise unfair outcomes </w:t>
      </w:r>
      <w:r w:rsidR="008D512F">
        <w:rPr>
          <w:iCs/>
        </w:rPr>
        <w:lastRenderedPageBreak/>
        <w:t>that would result if they</w:t>
      </w:r>
      <w:r>
        <w:rPr>
          <w:iCs/>
        </w:rPr>
        <w:t xml:space="preserve"> did not enforce the NOM clause in issue</w:t>
      </w:r>
      <w:r w:rsidR="008D512F">
        <w:rPr>
          <w:iCs/>
        </w:rPr>
        <w:t>.</w:t>
      </w:r>
      <w:r w:rsidR="008D512F">
        <w:rPr>
          <w:rStyle w:val="FootnoteReference"/>
          <w:iCs/>
        </w:rPr>
        <w:footnoteReference w:id="49"/>
      </w:r>
      <w:r w:rsidR="008D512F">
        <w:rPr>
          <w:iCs/>
        </w:rPr>
        <w:t xml:space="preserve"> Those decisions may well have been different if evidence of the oral agreement had been strong.</w:t>
      </w:r>
    </w:p>
    <w:p w14:paraId="5E06BB68" w14:textId="614D1981" w:rsidR="001F3E74" w:rsidRPr="00DB6B50" w:rsidRDefault="00FE5A3C" w:rsidP="0040685F">
      <w:pPr>
        <w:rPr>
          <w:iCs/>
        </w:rPr>
      </w:pPr>
      <w:r>
        <w:rPr>
          <w:iCs/>
        </w:rPr>
        <w:t xml:space="preserve">The recent decision of the </w:t>
      </w:r>
      <w:r w:rsidR="00A83423">
        <w:rPr>
          <w:iCs/>
        </w:rPr>
        <w:t>Ontario Superior Court of Justice</w:t>
      </w:r>
      <w:r w:rsidR="00A022AE">
        <w:rPr>
          <w:iCs/>
        </w:rPr>
        <w:t xml:space="preserve"> appears </w:t>
      </w:r>
      <w:r w:rsidR="00D75C67">
        <w:rPr>
          <w:iCs/>
        </w:rPr>
        <w:t>to</w:t>
      </w:r>
      <w:r w:rsidR="00A022AE">
        <w:rPr>
          <w:iCs/>
        </w:rPr>
        <w:t xml:space="preserve"> reconcile </w:t>
      </w:r>
      <w:r w:rsidR="00A83423" w:rsidRPr="00A83423">
        <w:rPr>
          <w:iCs/>
        </w:rPr>
        <w:t>th</w:t>
      </w:r>
      <w:r w:rsidR="00D75C67">
        <w:rPr>
          <w:iCs/>
        </w:rPr>
        <w:t xml:space="preserve">e competing </w:t>
      </w:r>
      <w:proofErr w:type="spellStart"/>
      <w:r w:rsidR="00D75C67">
        <w:rPr>
          <w:iCs/>
        </w:rPr>
        <w:t>caselaw</w:t>
      </w:r>
      <w:proofErr w:type="spellEnd"/>
      <w:r w:rsidR="00D75C67">
        <w:rPr>
          <w:iCs/>
        </w:rPr>
        <w:t xml:space="preserve">. </w:t>
      </w:r>
      <w:r w:rsidR="00DC21BF">
        <w:rPr>
          <w:iCs/>
        </w:rPr>
        <w:t xml:space="preserve">The </w:t>
      </w:r>
      <w:r w:rsidR="00105A27">
        <w:rPr>
          <w:iCs/>
        </w:rPr>
        <w:t xml:space="preserve">court hearing </w:t>
      </w:r>
      <w:proofErr w:type="spellStart"/>
      <w:r w:rsidR="00D75C67">
        <w:rPr>
          <w:i/>
        </w:rPr>
        <w:t>Ruetz</w:t>
      </w:r>
      <w:proofErr w:type="spellEnd"/>
      <w:r w:rsidR="00A83423" w:rsidRPr="00A83423">
        <w:rPr>
          <w:iCs/>
        </w:rPr>
        <w:t xml:space="preserve"> </w:t>
      </w:r>
      <w:r w:rsidR="00584988">
        <w:rPr>
          <w:i/>
        </w:rPr>
        <w:t xml:space="preserve">v. Metro Canada </w:t>
      </w:r>
      <w:r w:rsidR="00A83423" w:rsidRPr="00A83423">
        <w:rPr>
          <w:iCs/>
        </w:rPr>
        <w:t xml:space="preserve">refused to recognize an alleged oral amendment, but only because of insufficient evidence. Citing </w:t>
      </w:r>
      <w:proofErr w:type="spellStart"/>
      <w:r w:rsidR="00A83423" w:rsidRPr="00A83423">
        <w:rPr>
          <w:i/>
          <w:iCs/>
        </w:rPr>
        <w:t>Colautti</w:t>
      </w:r>
      <w:proofErr w:type="spellEnd"/>
      <w:r w:rsidR="00A83423" w:rsidRPr="00A83423">
        <w:rPr>
          <w:iCs/>
        </w:rPr>
        <w:t xml:space="preserve">, the </w:t>
      </w:r>
      <w:r w:rsidR="00584988">
        <w:rPr>
          <w:iCs/>
        </w:rPr>
        <w:t xml:space="preserve">Superior Court </w:t>
      </w:r>
      <w:r w:rsidR="00A83423" w:rsidRPr="00A83423">
        <w:rPr>
          <w:iCs/>
        </w:rPr>
        <w:t xml:space="preserve">confirmed that an oral agreement </w:t>
      </w:r>
      <w:r w:rsidR="00E124E5">
        <w:rPr>
          <w:iCs/>
        </w:rPr>
        <w:t>can</w:t>
      </w:r>
      <w:r w:rsidR="00A83423" w:rsidRPr="00A83423">
        <w:rPr>
          <w:iCs/>
        </w:rPr>
        <w:t xml:space="preserve"> be</w:t>
      </w:r>
      <w:r w:rsidR="008C50B2">
        <w:rPr>
          <w:iCs/>
        </w:rPr>
        <w:t xml:space="preserve"> enforced despite a NOM clause—</w:t>
      </w:r>
      <w:r w:rsidR="00E124E5">
        <w:rPr>
          <w:iCs/>
        </w:rPr>
        <w:t xml:space="preserve">if the </w:t>
      </w:r>
      <w:r w:rsidR="00A83423" w:rsidRPr="00A83423">
        <w:rPr>
          <w:iCs/>
        </w:rPr>
        <w:t>evidence show</w:t>
      </w:r>
      <w:r w:rsidR="00E124E5">
        <w:rPr>
          <w:iCs/>
        </w:rPr>
        <w:t>s</w:t>
      </w:r>
      <w:r w:rsidR="00A83423" w:rsidRPr="00A83423">
        <w:rPr>
          <w:iCs/>
        </w:rPr>
        <w:t xml:space="preserve"> a mutual intention to modify the contractual relationship.</w:t>
      </w:r>
      <w:r w:rsidR="00A83423" w:rsidRPr="00A83423">
        <w:rPr>
          <w:iCs/>
          <w:vertAlign w:val="superscript"/>
        </w:rPr>
        <w:footnoteReference w:id="50"/>
      </w:r>
      <w:r w:rsidR="00A83423" w:rsidRPr="00A83423">
        <w:rPr>
          <w:iCs/>
        </w:rPr>
        <w:t xml:space="preserve"> </w:t>
      </w:r>
      <w:r w:rsidR="0055396D">
        <w:t>A</w:t>
      </w:r>
      <w:r w:rsidR="0035682C">
        <w:t>s with entire agreement clause</w:t>
      </w:r>
      <w:r w:rsidR="008C50B2">
        <w:t>s</w:t>
      </w:r>
      <w:r w:rsidR="0035682C">
        <w:t xml:space="preserve"> and the </w:t>
      </w:r>
      <w:proofErr w:type="spellStart"/>
      <w:r w:rsidR="0035682C">
        <w:t>parol</w:t>
      </w:r>
      <w:proofErr w:type="spellEnd"/>
      <w:r w:rsidR="0035682C">
        <w:t xml:space="preserve"> evidence rule</w:t>
      </w:r>
      <w:r w:rsidR="0055396D">
        <w:t>, i</w:t>
      </w:r>
      <w:r w:rsidR="00526BD9">
        <w:t xml:space="preserve">f the evidence proves a common intention to modify the contractual arrangement, courts will respect that intention despite lack of adherence to </w:t>
      </w:r>
      <w:r w:rsidR="00DB6B50">
        <w:t xml:space="preserve">a </w:t>
      </w:r>
      <w:r w:rsidR="00032E21">
        <w:t xml:space="preserve">prescribed </w:t>
      </w:r>
      <w:r w:rsidR="00526BD9">
        <w:t xml:space="preserve">writing requirement. </w:t>
      </w:r>
    </w:p>
    <w:p w14:paraId="5551741F" w14:textId="48475CAC" w:rsidR="00DD2566" w:rsidRPr="00B33FFD" w:rsidRDefault="00B33FFD" w:rsidP="00144D65">
      <w:pPr>
        <w:pStyle w:val="Heading2"/>
        <w:rPr>
          <w:i/>
        </w:rPr>
      </w:pPr>
      <w:bookmarkStart w:id="27" w:name="_Toc74812121"/>
      <w:r>
        <w:t xml:space="preserve">Oral </w:t>
      </w:r>
      <w:r w:rsidR="001772AF">
        <w:t>agreements</w:t>
      </w:r>
      <w:r>
        <w:t xml:space="preserve"> and the </w:t>
      </w:r>
      <w:r w:rsidR="00834CA3" w:rsidRPr="00B33FFD">
        <w:rPr>
          <w:i/>
        </w:rPr>
        <w:t>Statute of Frauds</w:t>
      </w:r>
      <w:bookmarkEnd w:id="27"/>
      <w:r w:rsidR="00834CA3" w:rsidRPr="00B33FFD">
        <w:rPr>
          <w:i/>
        </w:rPr>
        <w:t xml:space="preserve"> </w:t>
      </w:r>
    </w:p>
    <w:p w14:paraId="30E0A08E" w14:textId="33FD7A61" w:rsidR="001B19C5" w:rsidRDefault="00DD17EA">
      <w:r>
        <w:t>Even where legislation</w:t>
      </w:r>
      <w:r w:rsidR="001B19C5">
        <w:t xml:space="preserve"> seeks to impose a writing requirement, courts w</w:t>
      </w:r>
      <w:r w:rsidR="00DB6B50">
        <w:t xml:space="preserve">ill </w:t>
      </w:r>
      <w:r w:rsidR="008C50B2">
        <w:t xml:space="preserve">find ways to ensure </w:t>
      </w:r>
      <w:r w:rsidR="00DB6B50">
        <w:t>the parties’ intentions are respected</w:t>
      </w:r>
      <w:r w:rsidR="001B19C5">
        <w:t xml:space="preserve">. </w:t>
      </w:r>
      <w:r w:rsidR="00B33FFD">
        <w:t>The best example of this is t</w:t>
      </w:r>
      <w:r w:rsidR="001B19C5">
        <w:t xml:space="preserve">he </w:t>
      </w:r>
      <w:r w:rsidR="001B19C5">
        <w:rPr>
          <w:i/>
        </w:rPr>
        <w:t>Statute of Frauds</w:t>
      </w:r>
      <w:r w:rsidR="00B33FFD">
        <w:t>, which</w:t>
      </w:r>
      <w:r w:rsidR="001B19C5">
        <w:rPr>
          <w:i/>
        </w:rPr>
        <w:t xml:space="preserve"> </w:t>
      </w:r>
      <w:r w:rsidR="001B19C5">
        <w:t xml:space="preserve">was first enacted in </w:t>
      </w:r>
      <w:r w:rsidR="00357576">
        <w:t xml:space="preserve">England in </w:t>
      </w:r>
      <w:r w:rsidR="00357576">
        <w:lastRenderedPageBreak/>
        <w:t>the late 17</w:t>
      </w:r>
      <w:r w:rsidR="00357576" w:rsidRPr="00357576">
        <w:rPr>
          <w:vertAlign w:val="superscript"/>
        </w:rPr>
        <w:t>th</w:t>
      </w:r>
      <w:r w:rsidR="00357576">
        <w:t xml:space="preserve"> century</w:t>
      </w:r>
      <w:r w:rsidR="00357576">
        <w:rPr>
          <w:rStyle w:val="FootnoteReference"/>
        </w:rPr>
        <w:footnoteReference w:id="51"/>
      </w:r>
      <w:r w:rsidR="00357576">
        <w:t xml:space="preserve"> as a way to ensure </w:t>
      </w:r>
      <w:r w:rsidR="00F77C03">
        <w:t>the le</w:t>
      </w:r>
      <w:r w:rsidR="00F77C03" w:rsidRPr="00B76458">
        <w:t>gitimacy of contracts conveying an interest in</w:t>
      </w:r>
      <w:r w:rsidR="00357576" w:rsidRPr="00B76458">
        <w:t xml:space="preserve"> land. </w:t>
      </w:r>
      <w:r w:rsidR="00B76458">
        <w:t xml:space="preserve">It </w:t>
      </w:r>
      <w:r w:rsidR="00B76458" w:rsidRPr="00B76458">
        <w:t xml:space="preserve">remains in force in numerous jurisdictions </w:t>
      </w:r>
      <w:r w:rsidR="00B76458">
        <w:t xml:space="preserve">to </w:t>
      </w:r>
      <w:r w:rsidR="00B76458" w:rsidRPr="00B76458">
        <w:t>“prevent fraudulent dealings based on perjured evidence”.</w:t>
      </w:r>
      <w:r w:rsidR="00B76458">
        <w:rPr>
          <w:rStyle w:val="FootnoteReference"/>
        </w:rPr>
        <w:footnoteReference w:id="52"/>
      </w:r>
    </w:p>
    <w:p w14:paraId="3AF6A8AD" w14:textId="0D845FF4" w:rsidR="00297958" w:rsidRPr="000C27FC" w:rsidRDefault="00953FBE" w:rsidP="002C3483">
      <w:r w:rsidRPr="002C3483">
        <w:t>The statute, in its various iterations, stipulates t</w:t>
      </w:r>
      <w:r w:rsidR="00B33FFD">
        <w:t xml:space="preserve">hat </w:t>
      </w:r>
      <w:r w:rsidR="002C3483" w:rsidRPr="002C3483">
        <w:t>contracts for the sale of land, wills, and “to answer for a</w:t>
      </w:r>
      <w:r w:rsidR="002C3483">
        <w:t xml:space="preserve"> d</w:t>
      </w:r>
      <w:r w:rsidR="00B33FFD">
        <w:t>ebt” must</w:t>
      </w:r>
      <w:r w:rsidR="002C3483" w:rsidRPr="002C3483">
        <w:t xml:space="preserve"> be in writing and signed by the parties</w:t>
      </w:r>
      <w:r w:rsidR="00B76458" w:rsidRPr="002C3483">
        <w:t>.</w:t>
      </w:r>
      <w:r w:rsidRPr="002C3483">
        <w:rPr>
          <w:vertAlign w:val="superscript"/>
        </w:rPr>
        <w:footnoteReference w:id="53"/>
      </w:r>
      <w:r w:rsidR="002C3483">
        <w:t xml:space="preserve"> </w:t>
      </w:r>
      <w:r w:rsidR="00301C60">
        <w:t xml:space="preserve">However, </w:t>
      </w:r>
      <w:r w:rsidR="00B3049F">
        <w:t>to</w:t>
      </w:r>
      <w:r w:rsidR="00301C60">
        <w:t xml:space="preserve"> ensure that the statute does not itself become</w:t>
      </w:r>
      <w:r w:rsidR="00B76458" w:rsidRPr="00B76458">
        <w:t xml:space="preserve"> “an engine of fraud”</w:t>
      </w:r>
      <w:r w:rsidR="00301C60">
        <w:t>,</w:t>
      </w:r>
      <w:r w:rsidR="00B76458" w:rsidRPr="002C3483">
        <w:rPr>
          <w:vertAlign w:val="superscript"/>
        </w:rPr>
        <w:footnoteReference w:id="54"/>
      </w:r>
      <w:r w:rsidR="00301C60">
        <w:t xml:space="preserve"> </w:t>
      </w:r>
      <w:r w:rsidR="00986BCB">
        <w:t>c</w:t>
      </w:r>
      <w:r w:rsidR="00B76458" w:rsidRPr="00B76458">
        <w:t>ourts</w:t>
      </w:r>
      <w:r w:rsidR="00B3049F">
        <w:t xml:space="preserve"> have e</w:t>
      </w:r>
      <w:r w:rsidR="005E4330">
        <w:t xml:space="preserve">stablished numerous exceptions to its application. </w:t>
      </w:r>
      <w:r w:rsidR="00301C60">
        <w:t xml:space="preserve"> </w:t>
      </w:r>
      <w:r w:rsidR="00301C60" w:rsidRPr="000C27FC">
        <w:t xml:space="preserve"> </w:t>
      </w:r>
    </w:p>
    <w:p w14:paraId="33DC5CA0" w14:textId="4F1704AB" w:rsidR="00F04A75" w:rsidRDefault="00FE206B" w:rsidP="00DC32AA">
      <w:r>
        <w:t>First, courts will</w:t>
      </w:r>
      <w:r w:rsidR="00F04A75">
        <w:t xml:space="preserve"> invoke the doctrine of part performance as exception to the writing requirement. The doctrine provides that a party acting on the oral contract to its detriment is evidence of </w:t>
      </w:r>
      <w:r w:rsidR="009F7DA0">
        <w:t xml:space="preserve">the contract’s </w:t>
      </w:r>
      <w:r w:rsidR="00F04A75">
        <w:t>existence.</w:t>
      </w:r>
      <w:r w:rsidR="00F04A75">
        <w:rPr>
          <w:rStyle w:val="FootnoteReference"/>
        </w:rPr>
        <w:footnoteReference w:id="55"/>
      </w:r>
      <w:r w:rsidR="00F04A75">
        <w:t xml:space="preserve"> </w:t>
      </w:r>
      <w:r w:rsidR="000C27FC">
        <w:t>Re</w:t>
      </w:r>
      <w:r w:rsidR="000C27FC">
        <w:lastRenderedPageBreak/>
        <w:t>cent decisions confirm that e</w:t>
      </w:r>
      <w:r w:rsidR="00606C01">
        <w:t xml:space="preserve">vidence of partial performance is also an exception </w:t>
      </w:r>
      <w:r w:rsidR="0032048B">
        <w:t xml:space="preserve">to the </w:t>
      </w:r>
      <w:proofErr w:type="spellStart"/>
      <w:r w:rsidR="0032048B">
        <w:t>parol</w:t>
      </w:r>
      <w:proofErr w:type="spellEnd"/>
      <w:r w:rsidR="0032048B">
        <w:t xml:space="preserve"> evidence </w:t>
      </w:r>
      <w:r w:rsidR="003F2463">
        <w:t>rule and can be used to establish an umbrella agreement</w:t>
      </w:r>
      <w:r w:rsidR="00952680">
        <w:t>.</w:t>
      </w:r>
      <w:r w:rsidR="001C6423">
        <w:rPr>
          <w:rStyle w:val="FootnoteReference"/>
        </w:rPr>
        <w:footnoteReference w:id="56"/>
      </w:r>
    </w:p>
    <w:p w14:paraId="1BAABE02" w14:textId="3AB80DC8" w:rsidR="0091575B" w:rsidRDefault="006412C4" w:rsidP="002C3483">
      <w:r>
        <w:t xml:space="preserve">In addition, courts </w:t>
      </w:r>
      <w:r w:rsidR="00301C60">
        <w:t xml:space="preserve">will </w:t>
      </w:r>
      <w:r w:rsidR="00B76458" w:rsidRPr="00B76458">
        <w:t>interpret</w:t>
      </w:r>
      <w:r w:rsidR="00301C60">
        <w:t xml:space="preserve"> </w:t>
      </w:r>
      <w:r>
        <w:t xml:space="preserve">the </w:t>
      </w:r>
      <w:r>
        <w:rPr>
          <w:i/>
          <w:iCs/>
        </w:rPr>
        <w:t>Statute of Frauds</w:t>
      </w:r>
      <w:r w:rsidRPr="000C27FC">
        <w:rPr>
          <w:i/>
        </w:rPr>
        <w:t xml:space="preserve"> </w:t>
      </w:r>
      <w:r w:rsidR="00B76458" w:rsidRPr="00B76458">
        <w:t>generously</w:t>
      </w:r>
      <w:r w:rsidR="002A69AD">
        <w:t xml:space="preserve"> </w:t>
      </w:r>
      <w:r w:rsidR="00F239B3">
        <w:t>or narrowly, as circumstances require</w:t>
      </w:r>
      <w:r w:rsidR="00B76458" w:rsidRPr="00B76458">
        <w:t xml:space="preserve">. </w:t>
      </w:r>
      <w:r w:rsidR="002D75BF">
        <w:t xml:space="preserve">The Alberta Court of Appeal recently </w:t>
      </w:r>
      <w:r w:rsidR="00685AE6">
        <w:t xml:space="preserve">held </w:t>
      </w:r>
      <w:r w:rsidR="002D75BF">
        <w:t>that an email signature meets the signing requirement,</w:t>
      </w:r>
      <w:r w:rsidR="002D75BF">
        <w:rPr>
          <w:rStyle w:val="FootnoteReference"/>
        </w:rPr>
        <w:footnoteReference w:id="57"/>
      </w:r>
      <w:r w:rsidR="002D75BF">
        <w:t xml:space="preserve"> consistent with earlier Ontario authority that f</w:t>
      </w:r>
      <w:r w:rsidR="00B76458" w:rsidRPr="00B76458">
        <w:t>axing a draft agreement with the sender’s nam</w:t>
      </w:r>
      <w:r w:rsidR="00986BCB">
        <w:t>e is sufficient</w:t>
      </w:r>
      <w:r w:rsidR="00B76458" w:rsidRPr="00B76458">
        <w:t>.</w:t>
      </w:r>
      <w:r w:rsidR="002C3483">
        <w:rPr>
          <w:rStyle w:val="FootnoteReference"/>
        </w:rPr>
        <w:footnoteReference w:id="58"/>
      </w:r>
      <w:r w:rsidR="00F847E3">
        <w:t xml:space="preserve"> </w:t>
      </w:r>
    </w:p>
    <w:p w14:paraId="00481438" w14:textId="24071278" w:rsidR="00E9013F" w:rsidRDefault="00883C2F" w:rsidP="002C3483">
      <w:r>
        <w:t>There is also a long</w:t>
      </w:r>
      <w:r w:rsidR="00E9013F">
        <w:rPr>
          <w:rStyle w:val="FootnoteReference"/>
        </w:rPr>
        <w:footnoteReference w:id="59"/>
      </w:r>
      <w:r w:rsidR="00B33FFD">
        <w:t xml:space="preserve"> and growing</w:t>
      </w:r>
      <w:r w:rsidR="00986BCB">
        <w:t xml:space="preserve"> list of specific transactions </w:t>
      </w:r>
      <w:r w:rsidR="00B33FFD">
        <w:t>that courts have found d</w:t>
      </w:r>
      <w:r w:rsidR="00B54FA6">
        <w:t xml:space="preserve">o </w:t>
      </w:r>
      <w:r w:rsidR="00B33FFD">
        <w:t>not create</w:t>
      </w:r>
      <w:r w:rsidR="00986BCB">
        <w:t xml:space="preserve"> an interest in land</w:t>
      </w:r>
      <w:r w:rsidR="00B33FFD">
        <w:t xml:space="preserve"> as contemplated by the statute</w:t>
      </w:r>
      <w:r w:rsidR="008C50B2">
        <w:t>, meaning that they are not subject to the writing requirement</w:t>
      </w:r>
      <w:r w:rsidR="00986BCB">
        <w:t xml:space="preserve">. </w:t>
      </w:r>
      <w:r w:rsidR="00FC3EE3">
        <w:t>R</w:t>
      </w:r>
      <w:r w:rsidR="00986BCB">
        <w:t>ecently</w:t>
      </w:r>
      <w:r w:rsidR="00FB1C7C">
        <w:t xml:space="preserve"> in </w:t>
      </w:r>
      <w:proofErr w:type="spellStart"/>
      <w:r w:rsidR="00FB1C7C">
        <w:rPr>
          <w:i/>
          <w:iCs/>
        </w:rPr>
        <w:t>Danesh</w:t>
      </w:r>
      <w:proofErr w:type="spellEnd"/>
      <w:r w:rsidR="00FB1C7C">
        <w:rPr>
          <w:i/>
          <w:iCs/>
        </w:rPr>
        <w:t xml:space="preserve"> v. </w:t>
      </w:r>
      <w:proofErr w:type="spellStart"/>
      <w:r w:rsidR="00FB1C7C">
        <w:rPr>
          <w:i/>
          <w:iCs/>
        </w:rPr>
        <w:t>Vahed</w:t>
      </w:r>
      <w:proofErr w:type="spellEnd"/>
      <w:r w:rsidR="00986BCB">
        <w:t xml:space="preserve">, the Ontario Superior Court of Justice held that the </w:t>
      </w:r>
      <w:r w:rsidR="008C50B2">
        <w:rPr>
          <w:i/>
        </w:rPr>
        <w:t>Statute of Frauds</w:t>
      </w:r>
      <w:r w:rsidR="004601D6">
        <w:t xml:space="preserve"> </w:t>
      </w:r>
      <w:r w:rsidR="00986BCB">
        <w:t>was unlikely to apply to an oral agre</w:t>
      </w:r>
      <w:r w:rsidR="00E650CF">
        <w:t xml:space="preserve">ement to extend a closing date. </w:t>
      </w:r>
      <w:r w:rsidR="007F6706">
        <w:t>This</w:t>
      </w:r>
      <w:r w:rsidR="00E650CF">
        <w:t xml:space="preserve"> exception would go beyond the acceptance of </w:t>
      </w:r>
      <w:r w:rsidR="00E650CF">
        <w:lastRenderedPageBreak/>
        <w:t>collateral oral agreements</w:t>
      </w:r>
      <w:r w:rsidR="00105243">
        <w:t xml:space="preserve"> in </w:t>
      </w:r>
      <w:proofErr w:type="spellStart"/>
      <w:r w:rsidR="00FB1C7C">
        <w:rPr>
          <w:i/>
          <w:iCs/>
        </w:rPr>
        <w:t>Shelanu</w:t>
      </w:r>
      <w:proofErr w:type="spellEnd"/>
      <w:r w:rsidR="00FB1C7C">
        <w:t>, which</w:t>
      </w:r>
      <w:r w:rsidR="00E650CF">
        <w:t xml:space="preserve"> nevertheless required them to </w:t>
      </w:r>
      <w:r w:rsidR="004601D6">
        <w:t xml:space="preserve">comply </w:t>
      </w:r>
      <w:r w:rsidR="00E650CF">
        <w:t xml:space="preserve">with the </w:t>
      </w:r>
      <w:r w:rsidR="00E650CF">
        <w:rPr>
          <w:i/>
        </w:rPr>
        <w:t>Statute of Frauds</w:t>
      </w:r>
      <w:r w:rsidR="00E650CF">
        <w:t xml:space="preserve">. </w:t>
      </w:r>
      <w:r w:rsidR="004601D6">
        <w:t xml:space="preserve">The </w:t>
      </w:r>
      <w:r w:rsidR="00287949">
        <w:t xml:space="preserve">Superior Court in </w:t>
      </w:r>
      <w:proofErr w:type="spellStart"/>
      <w:r w:rsidR="00287949">
        <w:rPr>
          <w:i/>
          <w:iCs/>
        </w:rPr>
        <w:t>Danesh</w:t>
      </w:r>
      <w:proofErr w:type="spellEnd"/>
      <w:r w:rsidR="00287949">
        <w:rPr>
          <w:i/>
          <w:iCs/>
        </w:rPr>
        <w:t xml:space="preserve"> </w:t>
      </w:r>
      <w:r w:rsidR="00986BCB">
        <w:t>also rejected the application of the statute because the seller’s action</w:t>
      </w:r>
      <w:r w:rsidR="00B33FFD">
        <w:t>s</w:t>
      </w:r>
      <w:r w:rsidR="00986BCB">
        <w:t xml:space="preserve"> evidenced an agreement to extend the closing date, and a failure to recognize </w:t>
      </w:r>
      <w:r w:rsidR="00BE520C">
        <w:t xml:space="preserve">that extension </w:t>
      </w:r>
      <w:r w:rsidR="00B33FFD">
        <w:t xml:space="preserve">would </w:t>
      </w:r>
      <w:r w:rsidR="00986BCB">
        <w:t>be “unconscionable”.</w:t>
      </w:r>
      <w:r w:rsidR="001453E3">
        <w:rPr>
          <w:rStyle w:val="FootnoteReference"/>
        </w:rPr>
        <w:footnoteReference w:id="60"/>
      </w:r>
      <w:r w:rsidR="00986BCB">
        <w:t xml:space="preserve"> </w:t>
      </w:r>
    </w:p>
    <w:p w14:paraId="0928A834" w14:textId="240E8CB6" w:rsidR="00806EF0" w:rsidRPr="003C00D8" w:rsidRDefault="0091575B" w:rsidP="007E65DA">
      <w:r>
        <w:t>In another recent decision, the Alberta Court of Queen’s Bench relied on the doctrine of part performance to enforce an agreement for the sale of shares in a company whose main asset was resource wells.</w:t>
      </w:r>
      <w:r w:rsidR="00E9013F">
        <w:rPr>
          <w:rStyle w:val="FootnoteReference"/>
        </w:rPr>
        <w:footnoteReference w:id="61"/>
      </w:r>
      <w:r>
        <w:t xml:space="preserve"> The Alberta Court of Appeal </w:t>
      </w:r>
      <w:r w:rsidR="00E9013F">
        <w:t>doubted whether part performance was even necessary as the transaction was for shares of the land-holding company, rather than the land itself.</w:t>
      </w:r>
      <w:r w:rsidR="00E9013F">
        <w:rPr>
          <w:rStyle w:val="FootnoteReference"/>
        </w:rPr>
        <w:footnoteReference w:id="62"/>
      </w:r>
      <w:r w:rsidR="00E9013F">
        <w:t xml:space="preserve"> </w:t>
      </w:r>
    </w:p>
    <w:p w14:paraId="6D312941" w14:textId="77777777" w:rsidR="00F67C4B" w:rsidRDefault="00F67C4B" w:rsidP="00F67C4B">
      <w:pPr>
        <w:pStyle w:val="Heading2"/>
      </w:pPr>
      <w:bookmarkStart w:id="28" w:name="_Toc74812122"/>
      <w:r>
        <w:t>Conclusion</w:t>
      </w:r>
      <w:bookmarkEnd w:id="28"/>
      <w:r>
        <w:t xml:space="preserve"> </w:t>
      </w:r>
    </w:p>
    <w:p w14:paraId="4969EEAD" w14:textId="013C14BF" w:rsidR="00D77E6B" w:rsidRDefault="00205D24">
      <w:r>
        <w:t xml:space="preserve">At bottom, </w:t>
      </w:r>
      <w:r w:rsidR="00FE772E">
        <w:t xml:space="preserve">the goal of contract law is to enforce agreements. </w:t>
      </w:r>
      <w:r w:rsidR="00500ECA">
        <w:t>Whe</w:t>
      </w:r>
      <w:r w:rsidR="00C724BD">
        <w:t xml:space="preserve">re </w:t>
      </w:r>
      <w:r w:rsidR="008C50B2">
        <w:t xml:space="preserve">the </w:t>
      </w:r>
      <w:r w:rsidR="00C724BD">
        <w:t xml:space="preserve">agreement is entirely in writing, </w:t>
      </w:r>
      <w:r w:rsidR="006B4561">
        <w:t xml:space="preserve">it is </w:t>
      </w:r>
      <w:r w:rsidR="00F95B2C">
        <w:t>about</w:t>
      </w:r>
      <w:r w:rsidR="006B4561">
        <w:t xml:space="preserve"> interpreting the words used. Where the agreement is oral</w:t>
      </w:r>
      <w:r w:rsidR="00F95B2C">
        <w:t xml:space="preserve">, </w:t>
      </w:r>
      <w:r w:rsidR="006B40D7">
        <w:t>it</w:t>
      </w:r>
      <w:r w:rsidR="00F95B2C">
        <w:t xml:space="preserve"> can be more </w:t>
      </w:r>
      <w:r w:rsidR="00525C14">
        <w:t>challenging because</w:t>
      </w:r>
      <w:r w:rsidR="00D3549C">
        <w:t xml:space="preserve"> the contents can themselves be a matter of dispute. </w:t>
      </w:r>
      <w:r w:rsidR="006B40D7">
        <w:t xml:space="preserve">In any case, the purpose of the exercise is to </w:t>
      </w:r>
      <w:r w:rsidR="00FB635E">
        <w:t xml:space="preserve">ascertain the intentions of the parties. </w:t>
      </w:r>
    </w:p>
    <w:p w14:paraId="2744B0C3" w14:textId="6D50A794" w:rsidR="00C47E63" w:rsidRDefault="00E650CF">
      <w:pPr>
        <w:rPr>
          <w:iCs/>
        </w:rPr>
      </w:pPr>
      <w:r>
        <w:lastRenderedPageBreak/>
        <w:t xml:space="preserve">The Ontario Court of Appeal’s decision in </w:t>
      </w:r>
      <w:r>
        <w:rPr>
          <w:i/>
        </w:rPr>
        <w:t xml:space="preserve">175 Ontario </w:t>
      </w:r>
      <w:r w:rsidR="009D0429">
        <w:rPr>
          <w:iCs/>
        </w:rPr>
        <w:t xml:space="preserve">is in </w:t>
      </w:r>
      <w:r w:rsidR="00E958F0">
        <w:rPr>
          <w:iCs/>
        </w:rPr>
        <w:t>line with prior jurisprudence</w:t>
      </w:r>
      <w:r w:rsidR="00F64C25">
        <w:rPr>
          <w:iCs/>
        </w:rPr>
        <w:t>,</w:t>
      </w:r>
      <w:r w:rsidR="00E958F0">
        <w:rPr>
          <w:iCs/>
        </w:rPr>
        <w:t xml:space="preserve"> but also takes it to a n</w:t>
      </w:r>
      <w:r w:rsidR="00F64C25">
        <w:rPr>
          <w:iCs/>
        </w:rPr>
        <w:t xml:space="preserve">ew level. </w:t>
      </w:r>
      <w:r w:rsidR="003117F4">
        <w:rPr>
          <w:iCs/>
        </w:rPr>
        <w:t xml:space="preserve">There is prior authority for enforcing a collateral oral agreement that </w:t>
      </w:r>
      <w:r w:rsidR="008F1672">
        <w:rPr>
          <w:iCs/>
        </w:rPr>
        <w:t xml:space="preserve">post-dates a written contract with an entire agreement clause. Oral umbrella </w:t>
      </w:r>
      <w:r w:rsidR="008435F4">
        <w:rPr>
          <w:iCs/>
        </w:rPr>
        <w:t xml:space="preserve">agreements </w:t>
      </w:r>
      <w:r w:rsidR="00081CAE">
        <w:rPr>
          <w:iCs/>
        </w:rPr>
        <w:t>preceding a narrower written contract</w:t>
      </w:r>
      <w:r w:rsidR="007F6706">
        <w:rPr>
          <w:iCs/>
        </w:rPr>
        <w:t>s</w:t>
      </w:r>
      <w:r w:rsidR="00081CAE">
        <w:rPr>
          <w:iCs/>
        </w:rPr>
        <w:t xml:space="preserve"> a</w:t>
      </w:r>
      <w:r w:rsidR="006647CB">
        <w:rPr>
          <w:iCs/>
        </w:rPr>
        <w:t xml:space="preserve">re also enforceable. Both types of oral agreements are </w:t>
      </w:r>
      <w:r w:rsidR="001772AF">
        <w:rPr>
          <w:iCs/>
        </w:rPr>
        <w:t xml:space="preserve">also </w:t>
      </w:r>
      <w:r w:rsidR="006647CB">
        <w:rPr>
          <w:iCs/>
        </w:rPr>
        <w:t>recogniz</w:t>
      </w:r>
      <w:r w:rsidR="007A76B6">
        <w:rPr>
          <w:iCs/>
        </w:rPr>
        <w:t xml:space="preserve">ed exceptions to the </w:t>
      </w:r>
      <w:proofErr w:type="spellStart"/>
      <w:r w:rsidR="007A76B6">
        <w:rPr>
          <w:iCs/>
        </w:rPr>
        <w:t>parol</w:t>
      </w:r>
      <w:proofErr w:type="spellEnd"/>
      <w:r w:rsidR="007A76B6">
        <w:rPr>
          <w:iCs/>
        </w:rPr>
        <w:t xml:space="preserve"> evidence rule. </w:t>
      </w:r>
    </w:p>
    <w:p w14:paraId="043DEE9F" w14:textId="0B85315A" w:rsidR="00E650CF" w:rsidRDefault="009279B0">
      <w:pPr>
        <w:rPr>
          <w:iCs/>
        </w:rPr>
      </w:pPr>
      <w:r>
        <w:rPr>
          <w:iCs/>
        </w:rPr>
        <w:t xml:space="preserve">However, </w:t>
      </w:r>
      <w:r w:rsidR="00D34AAD">
        <w:rPr>
          <w:iCs/>
        </w:rPr>
        <w:t xml:space="preserve">the </w:t>
      </w:r>
      <w:r w:rsidR="00C47E63">
        <w:rPr>
          <w:iCs/>
        </w:rPr>
        <w:t xml:space="preserve">oral agreement in </w:t>
      </w:r>
      <w:r w:rsidR="00C47E63">
        <w:rPr>
          <w:i/>
        </w:rPr>
        <w:t xml:space="preserve">175 Ontario </w:t>
      </w:r>
      <w:r w:rsidR="00C47E63">
        <w:rPr>
          <w:iCs/>
        </w:rPr>
        <w:t xml:space="preserve">would not likely qualify as an umbrella agreement. Moreover, it was not just contrary to the </w:t>
      </w:r>
      <w:r w:rsidR="00B12682">
        <w:rPr>
          <w:iCs/>
        </w:rPr>
        <w:t xml:space="preserve">terms of the subsequent written contract. The written contract had a clause that expressly sought to terminate all prior agreements; </w:t>
      </w:r>
      <w:r w:rsidR="00B26CE9">
        <w:rPr>
          <w:iCs/>
        </w:rPr>
        <w:t xml:space="preserve">it was directed at the exact kind of </w:t>
      </w:r>
      <w:r w:rsidR="00574111">
        <w:rPr>
          <w:iCs/>
        </w:rPr>
        <w:t>oral arrangement on which the plaintiff relie</w:t>
      </w:r>
      <w:r w:rsidR="00436966">
        <w:rPr>
          <w:iCs/>
        </w:rPr>
        <w:t>d</w:t>
      </w:r>
      <w:r w:rsidR="00574111">
        <w:rPr>
          <w:iCs/>
        </w:rPr>
        <w:t xml:space="preserve">. Still, the trial court and the </w:t>
      </w:r>
      <w:r w:rsidR="00CB0E9B">
        <w:rPr>
          <w:iCs/>
        </w:rPr>
        <w:t xml:space="preserve">Ontario Court of Appeal accepted that the oral agreement represented the parties’ true intentions. </w:t>
      </w:r>
      <w:r w:rsidR="001345D1">
        <w:rPr>
          <w:iCs/>
        </w:rPr>
        <w:t xml:space="preserve">Viewed through that lens, the decision follows the direction from the Supreme Court in </w:t>
      </w:r>
      <w:r w:rsidR="001345D1">
        <w:rPr>
          <w:i/>
        </w:rPr>
        <w:t>Sattva</w:t>
      </w:r>
      <w:r w:rsidR="001345D1">
        <w:rPr>
          <w:iCs/>
        </w:rPr>
        <w:t>.</w:t>
      </w:r>
    </w:p>
    <w:p w14:paraId="01BC1C6E" w14:textId="4F62A213" w:rsidR="0057238F" w:rsidRDefault="00F77081" w:rsidP="00DD2566">
      <w:r>
        <w:rPr>
          <w:iCs/>
        </w:rPr>
        <w:t>Cana</w:t>
      </w:r>
      <w:r w:rsidR="0052406A">
        <w:rPr>
          <w:iCs/>
        </w:rPr>
        <w:t>dian courts approach NOM clauses with the same ultimate objective.</w:t>
      </w:r>
      <w:r w:rsidR="00436966">
        <w:rPr>
          <w:iCs/>
        </w:rPr>
        <w:t xml:space="preserve"> </w:t>
      </w:r>
      <w:r w:rsidR="00A73E0B">
        <w:t xml:space="preserve">They enforce NOM clauses </w:t>
      </w:r>
      <w:r w:rsidR="002B1C5C">
        <w:t xml:space="preserve">where the </w:t>
      </w:r>
      <w:r w:rsidR="00794790">
        <w:t xml:space="preserve">evidence of </w:t>
      </w:r>
      <w:r w:rsidR="00E4295F">
        <w:t>an</w:t>
      </w:r>
      <w:r w:rsidR="00794790">
        <w:t xml:space="preserve"> alleged oral </w:t>
      </w:r>
      <w:r w:rsidR="000A7F7A">
        <w:t>variation</w:t>
      </w:r>
      <w:r w:rsidR="00794790">
        <w:t xml:space="preserve"> is weak and</w:t>
      </w:r>
      <w:r w:rsidR="00E04B84">
        <w:t xml:space="preserve"> find daylight outside</w:t>
      </w:r>
      <w:r w:rsidR="00E4295F">
        <w:t xml:space="preserve"> clauses</w:t>
      </w:r>
      <w:r w:rsidR="001772AF">
        <w:t xml:space="preserve"> where the evidence of an oral agreement to vary</w:t>
      </w:r>
      <w:r w:rsidR="00E4295F">
        <w:t xml:space="preserve"> is strong. </w:t>
      </w:r>
    </w:p>
    <w:p w14:paraId="3094D12E" w14:textId="49EF1B2F" w:rsidR="00DD2566" w:rsidRPr="002C523A" w:rsidRDefault="000D070E" w:rsidP="00DD2566">
      <w:r>
        <w:t xml:space="preserve">This jurisprudence </w:t>
      </w:r>
      <w:r w:rsidR="004A1BC7">
        <w:t xml:space="preserve">further shows that oral agreements cannot be negated </w:t>
      </w:r>
      <w:r w:rsidR="002D7DFA">
        <w:t xml:space="preserve">simply with </w:t>
      </w:r>
      <w:r w:rsidR="004A1BC7">
        <w:t xml:space="preserve">exclusion </w:t>
      </w:r>
      <w:r w:rsidR="002D7DFA">
        <w:t>clauses</w:t>
      </w:r>
      <w:r w:rsidR="0057238F">
        <w:t>, no matter how tightly</w:t>
      </w:r>
      <w:r w:rsidR="00E04B84">
        <w:t xml:space="preserve"> they </w:t>
      </w:r>
      <w:r w:rsidR="005F67DA">
        <w:t xml:space="preserve">are </w:t>
      </w:r>
      <w:r w:rsidR="00290163">
        <w:t xml:space="preserve">written. </w:t>
      </w:r>
      <w:r w:rsidR="001772AF">
        <w:t xml:space="preserve">Just as courts will not allow the </w:t>
      </w:r>
      <w:r w:rsidR="001772AF">
        <w:rPr>
          <w:i/>
        </w:rPr>
        <w:t xml:space="preserve">Statute of Frauds </w:t>
      </w:r>
      <w:r w:rsidR="001772AF">
        <w:t xml:space="preserve">to be “an engine of fraud”, </w:t>
      </w:r>
      <w:r w:rsidR="001772AF">
        <w:lastRenderedPageBreak/>
        <w:t xml:space="preserve">they will not allow </w:t>
      </w:r>
      <w:r w:rsidR="00704405">
        <w:t xml:space="preserve">an </w:t>
      </w:r>
      <w:r w:rsidR="001772AF">
        <w:t xml:space="preserve">exclusion clause to override the parties’ true agreement. </w:t>
      </w:r>
      <w:r w:rsidR="00290163">
        <w:t>Exclusion clauses</w:t>
      </w:r>
      <w:r w:rsidR="0057238F">
        <w:t xml:space="preserve"> will not stop a reviewing court from enforcing a </w:t>
      </w:r>
      <w:r w:rsidR="002459E0">
        <w:t>prior or subsequent oral agreement</w:t>
      </w:r>
      <w:r w:rsidR="00290163">
        <w:t>—</w:t>
      </w:r>
      <w:r w:rsidR="002459E0">
        <w:t>even one that conflicts with the written contract</w:t>
      </w:r>
      <w:r w:rsidR="00742B6B">
        <w:t>—</w:t>
      </w:r>
      <w:r w:rsidR="002459E0">
        <w:t>if the oral agreemen</w:t>
      </w:r>
      <w:r w:rsidR="00742B6B">
        <w:t>t captures</w:t>
      </w:r>
      <w:r w:rsidR="00D2052D">
        <w:t xml:space="preserve"> what the parties </w:t>
      </w:r>
      <w:r w:rsidR="00742B6B">
        <w:t xml:space="preserve">actually </w:t>
      </w:r>
      <w:r w:rsidR="00D2052D">
        <w:t xml:space="preserve">intended. </w:t>
      </w:r>
    </w:p>
    <w:sectPr w:rsidR="00DD2566" w:rsidRPr="002C52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BC014" w14:textId="77777777" w:rsidR="00D27B93" w:rsidRDefault="00D27B93" w:rsidP="0042457D">
      <w:pPr>
        <w:spacing w:after="0" w:line="240" w:lineRule="auto"/>
      </w:pPr>
      <w:r>
        <w:separator/>
      </w:r>
    </w:p>
  </w:endnote>
  <w:endnote w:type="continuationSeparator" w:id="0">
    <w:p w14:paraId="251E8D8D" w14:textId="77777777" w:rsidR="00D27B93" w:rsidRDefault="00D27B93" w:rsidP="0042457D">
      <w:pPr>
        <w:spacing w:after="0" w:line="240" w:lineRule="auto"/>
      </w:pPr>
      <w:r>
        <w:continuationSeparator/>
      </w:r>
    </w:p>
  </w:endnote>
  <w:endnote w:type="continuationNotice" w:id="1">
    <w:p w14:paraId="66354D33" w14:textId="77777777" w:rsidR="00D27B93" w:rsidRDefault="00D27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MS Gothic"/>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E311D" w14:textId="77777777" w:rsidR="00BF04C8" w:rsidRDefault="00BF0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38574"/>
      <w:docPartObj>
        <w:docPartGallery w:val="Page Numbers (Bottom of Page)"/>
        <w:docPartUnique/>
      </w:docPartObj>
    </w:sdtPr>
    <w:sdtEndPr>
      <w:rPr>
        <w:noProof/>
      </w:rPr>
    </w:sdtEndPr>
    <w:sdtContent>
      <w:p w14:paraId="69E3F9F1" w14:textId="28F4486E" w:rsidR="00D27B93" w:rsidRDefault="00D27B93">
        <w:pPr>
          <w:pStyle w:val="Footer"/>
          <w:jc w:val="center"/>
        </w:pPr>
        <w:r>
          <w:fldChar w:fldCharType="begin"/>
        </w:r>
        <w:r>
          <w:instrText xml:space="preserve"> PAGE   \* MERGEFORMAT </w:instrText>
        </w:r>
        <w:r>
          <w:fldChar w:fldCharType="separate"/>
        </w:r>
        <w:r w:rsidR="00BF04C8">
          <w:rPr>
            <w:noProof/>
          </w:rPr>
          <w:t>1</w:t>
        </w:r>
        <w:r>
          <w:rPr>
            <w:noProof/>
          </w:rPr>
          <w:fldChar w:fldCharType="end"/>
        </w:r>
      </w:p>
    </w:sdtContent>
  </w:sdt>
  <w:p w14:paraId="69F87946" w14:textId="77777777" w:rsidR="00D27B93" w:rsidRDefault="00D27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924B" w14:textId="77777777" w:rsidR="00BF04C8" w:rsidRDefault="00BF0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09985" w14:textId="77777777" w:rsidR="00D27B93" w:rsidRDefault="00D27B93" w:rsidP="0042457D">
      <w:pPr>
        <w:spacing w:after="0" w:line="240" w:lineRule="auto"/>
      </w:pPr>
      <w:r>
        <w:separator/>
      </w:r>
    </w:p>
  </w:footnote>
  <w:footnote w:type="continuationSeparator" w:id="0">
    <w:p w14:paraId="1EAB0B6D" w14:textId="77777777" w:rsidR="00D27B93" w:rsidRDefault="00D27B93" w:rsidP="0042457D">
      <w:pPr>
        <w:spacing w:after="0" w:line="240" w:lineRule="auto"/>
      </w:pPr>
      <w:r>
        <w:continuationSeparator/>
      </w:r>
    </w:p>
  </w:footnote>
  <w:footnote w:type="continuationNotice" w:id="1">
    <w:p w14:paraId="573F5156" w14:textId="77777777" w:rsidR="00D27B93" w:rsidRDefault="00D27B93">
      <w:pPr>
        <w:spacing w:after="0" w:line="240" w:lineRule="auto"/>
      </w:pPr>
    </w:p>
  </w:footnote>
  <w:footnote w:id="2">
    <w:p w14:paraId="090D550A" w14:textId="1D6A0C20" w:rsidR="00D27B93" w:rsidRPr="008C770A" w:rsidRDefault="00D27B93">
      <w:pPr>
        <w:pStyle w:val="FootnoteText"/>
        <w:rPr>
          <w:lang w:val="en-US"/>
        </w:rPr>
      </w:pPr>
      <w:r>
        <w:rPr>
          <w:rStyle w:val="FootnoteReference"/>
        </w:rPr>
        <w:footnoteRef/>
      </w:r>
      <w:r>
        <w:t xml:space="preserve"> </w:t>
      </w:r>
      <w:r>
        <w:rPr>
          <w:lang w:val="en-US"/>
        </w:rPr>
        <w:t xml:space="preserve">Partner at Lax O’Sullivan Lisus Gottlieb LLP. </w:t>
      </w:r>
    </w:p>
  </w:footnote>
  <w:footnote w:id="3">
    <w:p w14:paraId="5EB49AC9" w14:textId="6F6D82E4" w:rsidR="00D27B93" w:rsidRPr="00645EC1" w:rsidRDefault="00D27B93">
      <w:pPr>
        <w:pStyle w:val="FootnoteText"/>
        <w:rPr>
          <w:lang w:val="en-US"/>
        </w:rPr>
      </w:pPr>
      <w:r>
        <w:rPr>
          <w:rStyle w:val="FootnoteReference"/>
        </w:rPr>
        <w:footnoteRef/>
      </w:r>
      <w:r>
        <w:t xml:space="preserve"> </w:t>
      </w:r>
      <w:r w:rsidRPr="00645EC1">
        <w:rPr>
          <w:i/>
          <w:lang w:val="en-US"/>
        </w:rPr>
        <w:t>Sattva Capital Corp. v. Creston Moly Corp.</w:t>
      </w:r>
      <w:r w:rsidRPr="00645EC1">
        <w:rPr>
          <w:lang w:val="en-US"/>
        </w:rPr>
        <w:t>, 2014 SCC 53</w:t>
      </w:r>
      <w:r>
        <w:rPr>
          <w:lang w:val="en-US"/>
        </w:rPr>
        <w:t xml:space="preserve"> [“</w:t>
      </w:r>
      <w:r>
        <w:rPr>
          <w:b/>
          <w:i/>
          <w:lang w:val="en-US"/>
        </w:rPr>
        <w:t>Sattva</w:t>
      </w:r>
      <w:r>
        <w:rPr>
          <w:lang w:val="en-US"/>
        </w:rPr>
        <w:t>”] at para. 55.</w:t>
      </w:r>
    </w:p>
  </w:footnote>
  <w:footnote w:id="4">
    <w:p w14:paraId="5FECF3C0" w14:textId="77777777" w:rsidR="00D27B93" w:rsidRPr="00756759" w:rsidRDefault="00D27B93" w:rsidP="00FF459D">
      <w:pPr>
        <w:pStyle w:val="FootnoteText"/>
        <w:rPr>
          <w:lang w:val="en-US"/>
        </w:rPr>
      </w:pPr>
      <w:r w:rsidRPr="00756759">
        <w:rPr>
          <w:rStyle w:val="FootnoteReference"/>
        </w:rPr>
        <w:footnoteRef/>
      </w:r>
      <w:r w:rsidRPr="00756759">
        <w:t xml:space="preserve"> </w:t>
      </w:r>
      <w:proofErr w:type="spellStart"/>
      <w:r w:rsidRPr="00756759">
        <w:rPr>
          <w:i/>
          <w:iCs/>
          <w:lang w:eastAsia="en-CA"/>
        </w:rPr>
        <w:t>Klemke</w:t>
      </w:r>
      <w:proofErr w:type="spellEnd"/>
      <w:r w:rsidRPr="00756759">
        <w:rPr>
          <w:i/>
          <w:iCs/>
          <w:lang w:eastAsia="en-CA"/>
        </w:rPr>
        <w:t xml:space="preserve"> Mining Corp</w:t>
      </w:r>
      <w:r>
        <w:rPr>
          <w:i/>
          <w:iCs/>
          <w:lang w:eastAsia="en-CA"/>
        </w:rPr>
        <w:t>.</w:t>
      </w:r>
      <w:r w:rsidRPr="00756759">
        <w:rPr>
          <w:i/>
          <w:iCs/>
          <w:lang w:eastAsia="en-CA"/>
        </w:rPr>
        <w:t xml:space="preserve"> v. Shell Canada Ltd.</w:t>
      </w:r>
      <w:r w:rsidRPr="00756759">
        <w:rPr>
          <w:lang w:eastAsia="en-CA"/>
        </w:rPr>
        <w:t>, 2007 ABQB 176 at paras</w:t>
      </w:r>
      <w:r>
        <w:rPr>
          <w:lang w:eastAsia="en-CA"/>
        </w:rPr>
        <w:t>.</w:t>
      </w:r>
      <w:r w:rsidRPr="00756759">
        <w:rPr>
          <w:lang w:eastAsia="en-CA"/>
        </w:rPr>
        <w:t xml:space="preserve"> 192-193, aff’d 2008 ABCA 257 (quoting Chitty on Contracts</w:t>
      </w:r>
      <w:r>
        <w:rPr>
          <w:lang w:eastAsia="en-CA"/>
        </w:rPr>
        <w:t xml:space="preserve"> 29</w:t>
      </w:r>
      <w:r w:rsidRPr="009D7854">
        <w:rPr>
          <w:vertAlign w:val="superscript"/>
          <w:lang w:eastAsia="en-CA"/>
        </w:rPr>
        <w:t>th</w:t>
      </w:r>
      <w:r>
        <w:rPr>
          <w:lang w:eastAsia="en-CA"/>
        </w:rPr>
        <w:t xml:space="preserve"> ed.</w:t>
      </w:r>
      <w:r w:rsidRPr="00756759">
        <w:rPr>
          <w:lang w:eastAsia="en-CA"/>
        </w:rPr>
        <w:t>).</w:t>
      </w:r>
    </w:p>
  </w:footnote>
  <w:footnote w:id="5">
    <w:p w14:paraId="36D4C36E" w14:textId="46F0C546" w:rsidR="00D27B93" w:rsidRPr="00756759" w:rsidRDefault="00D27B93" w:rsidP="005D49CF">
      <w:pPr>
        <w:pStyle w:val="FootnoteText"/>
        <w:rPr>
          <w:lang w:val="en-US"/>
        </w:rPr>
      </w:pPr>
      <w:r w:rsidRPr="00756759">
        <w:rPr>
          <w:rStyle w:val="FootnoteReference"/>
        </w:rPr>
        <w:footnoteRef/>
      </w:r>
      <w:r>
        <w:rPr>
          <w:rStyle w:val="FootnoteTextChar"/>
          <w:lang w:eastAsia="en-CA"/>
        </w:rPr>
        <w:t xml:space="preserve"> </w:t>
      </w:r>
      <w:r w:rsidRPr="00756759">
        <w:rPr>
          <w:rStyle w:val="FootnoteTextChar"/>
          <w:i/>
        </w:rPr>
        <w:t>1750738 Ontario Inc</w:t>
      </w:r>
      <w:r>
        <w:rPr>
          <w:rStyle w:val="FootnoteTextChar"/>
          <w:i/>
        </w:rPr>
        <w:t>.</w:t>
      </w:r>
      <w:r w:rsidRPr="00756759">
        <w:rPr>
          <w:rStyle w:val="FootnoteTextChar"/>
          <w:i/>
        </w:rPr>
        <w:t xml:space="preserve"> c</w:t>
      </w:r>
      <w:r>
        <w:rPr>
          <w:rStyle w:val="FootnoteTextChar"/>
          <w:i/>
        </w:rPr>
        <w:t>.</w:t>
      </w:r>
      <w:r w:rsidRPr="00756759">
        <w:rPr>
          <w:rStyle w:val="FootnoteTextChar"/>
          <w:i/>
        </w:rPr>
        <w:t xml:space="preserve"> 1750714 Ontario Inc</w:t>
      </w:r>
      <w:r>
        <w:rPr>
          <w:rStyle w:val="FootnoteTextChar"/>
          <w:i/>
        </w:rPr>
        <w:t>.</w:t>
      </w:r>
      <w:r w:rsidRPr="00756759">
        <w:rPr>
          <w:rStyle w:val="FootnoteTextChar"/>
        </w:rPr>
        <w:t xml:space="preserve">, 2020 ONCA 836 </w:t>
      </w:r>
      <w:r>
        <w:rPr>
          <w:rStyle w:val="FootnoteTextChar"/>
        </w:rPr>
        <w:t>[“</w:t>
      </w:r>
      <w:r>
        <w:rPr>
          <w:rStyle w:val="FootnoteTextChar"/>
          <w:b/>
          <w:bCs/>
          <w:i/>
          <w:iCs/>
        </w:rPr>
        <w:t xml:space="preserve">175 </w:t>
      </w:r>
      <w:r w:rsidRPr="00C00B0C">
        <w:rPr>
          <w:rStyle w:val="FootnoteTextChar"/>
          <w:b/>
          <w:bCs/>
          <w:i/>
          <w:iCs/>
        </w:rPr>
        <w:t>Ontario</w:t>
      </w:r>
      <w:r w:rsidRPr="00C00B0C">
        <w:rPr>
          <w:rStyle w:val="FootnoteTextChar"/>
        </w:rPr>
        <w:t>”]</w:t>
      </w:r>
      <w:r>
        <w:rPr>
          <w:rStyle w:val="FootnoteTextChar"/>
          <w:b/>
          <w:bCs/>
        </w:rPr>
        <w:t xml:space="preserve"> </w:t>
      </w:r>
      <w:r w:rsidRPr="00033DBE">
        <w:rPr>
          <w:rStyle w:val="FootnoteTextChar"/>
        </w:rPr>
        <w:t>at</w:t>
      </w:r>
      <w:r w:rsidRPr="00756759">
        <w:rPr>
          <w:rStyle w:val="FootnoteTextChar"/>
        </w:rPr>
        <w:t xml:space="preserve"> paras</w:t>
      </w:r>
      <w:r>
        <w:rPr>
          <w:rStyle w:val="FootnoteTextChar"/>
        </w:rPr>
        <w:t>.</w:t>
      </w:r>
      <w:r w:rsidRPr="00756759">
        <w:rPr>
          <w:rStyle w:val="FootnoteTextChar"/>
        </w:rPr>
        <w:t xml:space="preserve"> 37-38</w:t>
      </w:r>
      <w:r>
        <w:rPr>
          <w:rStyle w:val="FootnoteTextChar"/>
        </w:rPr>
        <w:t xml:space="preserve">; </w:t>
      </w:r>
      <w:r w:rsidRPr="00252BDB">
        <w:rPr>
          <w:rFonts w:eastAsia="Times New Roman"/>
          <w:i/>
          <w:lang w:eastAsia="en-CA"/>
        </w:rPr>
        <w:t>Ruparell v. J.H. Cochrane Investments Inc. et al.</w:t>
      </w:r>
      <w:r w:rsidRPr="00252BDB">
        <w:rPr>
          <w:rFonts w:eastAsia="Times New Roman"/>
          <w:lang w:eastAsia="en-CA"/>
        </w:rPr>
        <w:t xml:space="preserve">, 2020 ONSC 7466 at paras. 20-21; </w:t>
      </w:r>
      <w:r w:rsidRPr="00252BDB">
        <w:rPr>
          <w:rFonts w:eastAsia="Times New Roman"/>
          <w:i/>
          <w:lang w:eastAsia="en-CA"/>
        </w:rPr>
        <w:t>C</w:t>
      </w:r>
      <w:r w:rsidRPr="00252BDB">
        <w:rPr>
          <w:i/>
          <w:iCs/>
          <w:shd w:val="clear" w:color="auto" w:fill="FFFFFF"/>
        </w:rPr>
        <w:t>anadian Northern Shield v. 2421593 Canadian Inc. </w:t>
      </w:r>
      <w:r w:rsidRPr="00252BDB">
        <w:t>2018 ONSC 3627 at paras. 72-73;</w:t>
      </w:r>
      <w:r w:rsidRPr="00252BDB">
        <w:rPr>
          <w:shd w:val="clear" w:color="auto" w:fill="FFFFFF"/>
        </w:rPr>
        <w:t> </w:t>
      </w:r>
      <w:proofErr w:type="spellStart"/>
      <w:r w:rsidRPr="00252BDB">
        <w:rPr>
          <w:rStyle w:val="FootnoteTextChar"/>
          <w:i/>
          <w:iCs/>
          <w:szCs w:val="22"/>
        </w:rPr>
        <w:t>Bawitko</w:t>
      </w:r>
      <w:proofErr w:type="spellEnd"/>
      <w:r w:rsidRPr="00252BDB">
        <w:rPr>
          <w:rStyle w:val="FootnoteTextChar"/>
          <w:i/>
          <w:iCs/>
          <w:szCs w:val="22"/>
        </w:rPr>
        <w:t xml:space="preserve"> Investments Ltd. v. Kernels Popcorn Ltd. </w:t>
      </w:r>
      <w:r>
        <w:rPr>
          <w:rStyle w:val="FootnoteTextChar"/>
          <w:szCs w:val="22"/>
        </w:rPr>
        <w:t>(1991</w:t>
      </w:r>
      <w:r w:rsidRPr="00252BDB">
        <w:rPr>
          <w:rStyle w:val="FootnoteTextChar"/>
          <w:szCs w:val="22"/>
        </w:rPr>
        <w:t xml:space="preserve">), 79 </w:t>
      </w:r>
      <w:r w:rsidRPr="00920115">
        <w:rPr>
          <w:rStyle w:val="FootnoteTextChar"/>
          <w:szCs w:val="22"/>
        </w:rPr>
        <w:t>D.L.R. (4th) 97 (Ont. C.A.) at 103-104</w:t>
      </w:r>
      <w:r w:rsidRPr="00920115">
        <w:rPr>
          <w:shd w:val="clear" w:color="auto" w:fill="FFFFFF"/>
        </w:rPr>
        <w:t>; </w:t>
      </w:r>
      <w:r w:rsidRPr="00920115">
        <w:rPr>
          <w:i/>
          <w:iCs/>
          <w:shd w:val="clear" w:color="auto" w:fill="FFFFFF"/>
        </w:rPr>
        <w:t>UBS Securities Canada, Inc. v. Sands Brothers Canada, Ltd.</w:t>
      </w:r>
      <w:r w:rsidRPr="00920115">
        <w:rPr>
          <w:shd w:val="clear" w:color="auto" w:fill="FFFFFF"/>
        </w:rPr>
        <w:t xml:space="preserve">, </w:t>
      </w:r>
      <w:r w:rsidRPr="00920115">
        <w:rPr>
          <w:rStyle w:val="reflex3-block"/>
          <w:color w:val="000000"/>
          <w:shd w:val="clear" w:color="auto" w:fill="FFFFFF"/>
        </w:rPr>
        <w:t>2009 ONCA 328</w:t>
      </w:r>
      <w:r w:rsidRPr="00920115">
        <w:rPr>
          <w:shd w:val="clear" w:color="auto" w:fill="FFFFFF"/>
        </w:rPr>
        <w:t> at para. </w:t>
      </w:r>
      <w:hyperlink r:id="rId1" w:anchor="par47" w:history="1">
        <w:r w:rsidRPr="00920115">
          <w:rPr>
            <w:rStyle w:val="Hyperlink"/>
            <w:color w:val="auto"/>
            <w:u w:val="none"/>
            <w:shd w:val="clear" w:color="auto" w:fill="FFFFFF"/>
          </w:rPr>
          <w:t>47</w:t>
        </w:r>
      </w:hyperlink>
      <w:r w:rsidRPr="00920115">
        <w:rPr>
          <w:shd w:val="clear" w:color="auto" w:fill="FFFFFF"/>
        </w:rPr>
        <w:t xml:space="preserve">; </w:t>
      </w:r>
      <w:proofErr w:type="spellStart"/>
      <w:r w:rsidRPr="00920115">
        <w:rPr>
          <w:i/>
          <w:iCs/>
          <w:shd w:val="clear" w:color="auto" w:fill="FFFFFF"/>
        </w:rPr>
        <w:t>Betser-Zilevitch</w:t>
      </w:r>
      <w:proofErr w:type="spellEnd"/>
      <w:r w:rsidRPr="00920115">
        <w:rPr>
          <w:i/>
          <w:iCs/>
          <w:shd w:val="clear" w:color="auto" w:fill="FFFFFF"/>
        </w:rPr>
        <w:t xml:space="preserve"> v. </w:t>
      </w:r>
      <w:proofErr w:type="spellStart"/>
      <w:r w:rsidRPr="00920115">
        <w:rPr>
          <w:i/>
          <w:iCs/>
          <w:shd w:val="clear" w:color="auto" w:fill="FFFFFF"/>
        </w:rPr>
        <w:t>Nexen</w:t>
      </w:r>
      <w:proofErr w:type="spellEnd"/>
      <w:r w:rsidRPr="00920115">
        <w:rPr>
          <w:i/>
          <w:iCs/>
          <w:shd w:val="clear" w:color="auto" w:fill="FFFFFF"/>
        </w:rPr>
        <w:t xml:space="preserve"> Inc.,</w:t>
      </w:r>
      <w:r w:rsidRPr="00920115">
        <w:rPr>
          <w:shd w:val="clear" w:color="auto" w:fill="FFFFFF"/>
        </w:rPr>
        <w:t> </w:t>
      </w:r>
      <w:r w:rsidRPr="00920115">
        <w:t>2019 FCA 230 at</w:t>
      </w:r>
      <w:r w:rsidRPr="00920115">
        <w:rPr>
          <w:shd w:val="clear" w:color="auto" w:fill="FFFFFF"/>
        </w:rPr>
        <w:t xml:space="preserve"> para. </w:t>
      </w:r>
      <w:hyperlink r:id="rId2" w:anchor="par4" w:history="1">
        <w:r w:rsidRPr="00920115">
          <w:rPr>
            <w:rStyle w:val="Hyperlink"/>
            <w:color w:val="auto"/>
            <w:u w:val="none"/>
            <w:shd w:val="clear" w:color="auto" w:fill="FFFFFF"/>
          </w:rPr>
          <w:t>4</w:t>
        </w:r>
      </w:hyperlink>
      <w:r w:rsidRPr="00920115">
        <w:rPr>
          <w:shd w:val="clear" w:color="auto" w:fill="FFFFFF"/>
        </w:rPr>
        <w:t>;</w:t>
      </w:r>
      <w:r w:rsidRPr="00920115">
        <w:rPr>
          <w:i/>
          <w:iCs/>
          <w:shd w:val="clear" w:color="auto" w:fill="FFFFFF"/>
        </w:rPr>
        <w:t xml:space="preserve"> </w:t>
      </w:r>
      <w:proofErr w:type="spellStart"/>
      <w:r w:rsidRPr="00920115">
        <w:rPr>
          <w:i/>
          <w:iCs/>
          <w:shd w:val="clear" w:color="auto" w:fill="FFFFFF"/>
        </w:rPr>
        <w:t>Calvan</w:t>
      </w:r>
      <w:proofErr w:type="spellEnd"/>
      <w:r w:rsidRPr="00920115">
        <w:rPr>
          <w:i/>
          <w:iCs/>
          <w:shd w:val="clear" w:color="auto" w:fill="FFFFFF"/>
        </w:rPr>
        <w:t xml:space="preserve"> Consolida</w:t>
      </w:r>
      <w:r w:rsidRPr="00252BDB">
        <w:rPr>
          <w:i/>
          <w:iCs/>
          <w:shd w:val="clear" w:color="auto" w:fill="FFFFFF"/>
        </w:rPr>
        <w:t>ted Oil and Gas Company Limited v</w:t>
      </w:r>
      <w:r>
        <w:rPr>
          <w:i/>
          <w:iCs/>
          <w:shd w:val="clear" w:color="auto" w:fill="FFFFFF"/>
        </w:rPr>
        <w:t>.</w:t>
      </w:r>
      <w:r w:rsidRPr="00252BDB">
        <w:rPr>
          <w:i/>
          <w:iCs/>
          <w:shd w:val="clear" w:color="auto" w:fill="FFFFFF"/>
        </w:rPr>
        <w:t xml:space="preserve"> Manning</w:t>
      </w:r>
      <w:r w:rsidRPr="00252BDB">
        <w:rPr>
          <w:shd w:val="clear" w:color="auto" w:fill="FFFFFF"/>
        </w:rPr>
        <w:t>, [1959] S.C.R. 253 at 260-261; </w:t>
      </w:r>
      <w:proofErr w:type="spellStart"/>
      <w:r w:rsidRPr="00252BDB">
        <w:rPr>
          <w:i/>
          <w:iCs/>
          <w:shd w:val="clear" w:color="auto" w:fill="FFFFFF"/>
        </w:rPr>
        <w:t>Klemke</w:t>
      </w:r>
      <w:proofErr w:type="spellEnd"/>
      <w:r w:rsidRPr="00252BDB">
        <w:rPr>
          <w:i/>
          <w:iCs/>
          <w:shd w:val="clear" w:color="auto" w:fill="FFFFFF"/>
        </w:rPr>
        <w:t xml:space="preserve"> Mining Corp. v. Shell Canada Ltd.</w:t>
      </w:r>
      <w:r w:rsidRPr="00252BDB">
        <w:rPr>
          <w:shd w:val="clear" w:color="auto" w:fill="FFFFFF"/>
        </w:rPr>
        <w:t>, </w:t>
      </w:r>
      <w:hyperlink r:id="rId3" w:history="1">
        <w:r w:rsidRPr="00252BDB">
          <w:rPr>
            <w:rStyle w:val="Hyperlink"/>
            <w:color w:val="auto"/>
            <w:u w:val="none"/>
            <w:shd w:val="clear" w:color="auto" w:fill="FFFFFF"/>
          </w:rPr>
          <w:t>2008 ABCA 257</w:t>
        </w:r>
      </w:hyperlink>
      <w:r w:rsidRPr="00252BDB">
        <w:rPr>
          <w:shd w:val="clear" w:color="auto" w:fill="FFFFFF"/>
        </w:rPr>
        <w:t> at paras. </w:t>
      </w:r>
      <w:hyperlink r:id="rId4" w:anchor="par24" w:history="1">
        <w:r w:rsidRPr="00252BDB">
          <w:rPr>
            <w:rStyle w:val="Hyperlink"/>
            <w:color w:val="auto"/>
            <w:u w:val="none"/>
            <w:shd w:val="clear" w:color="auto" w:fill="FFFFFF"/>
          </w:rPr>
          <w:t>24 and 27</w:t>
        </w:r>
      </w:hyperlink>
      <w:r w:rsidRPr="00252BDB">
        <w:rPr>
          <w:shd w:val="clear" w:color="auto" w:fill="FFFFFF"/>
        </w:rPr>
        <w:t>.</w:t>
      </w:r>
    </w:p>
  </w:footnote>
  <w:footnote w:id="6">
    <w:p w14:paraId="1B5A25D6" w14:textId="77777777" w:rsidR="00D27B93" w:rsidRPr="00756759" w:rsidRDefault="00D27B93" w:rsidP="009062DE">
      <w:pPr>
        <w:pStyle w:val="FootnoteText"/>
        <w:jc w:val="both"/>
        <w:rPr>
          <w:lang w:val="en-US"/>
        </w:rPr>
      </w:pPr>
      <w:r w:rsidRPr="00756759">
        <w:rPr>
          <w:rStyle w:val="FootnoteReference"/>
        </w:rPr>
        <w:footnoteRef/>
      </w:r>
      <w:r w:rsidRPr="00756759">
        <w:t xml:space="preserve"> </w:t>
      </w:r>
      <w:proofErr w:type="spellStart"/>
      <w:r w:rsidRPr="00756759">
        <w:rPr>
          <w:i/>
          <w:iCs/>
          <w:lang w:eastAsia="en-CA"/>
        </w:rPr>
        <w:t>Klemke</w:t>
      </w:r>
      <w:proofErr w:type="spellEnd"/>
      <w:r w:rsidRPr="00756759">
        <w:rPr>
          <w:i/>
          <w:iCs/>
          <w:lang w:eastAsia="en-CA"/>
        </w:rPr>
        <w:t xml:space="preserve"> Mining Corp. v. Shell Canada Ltd.</w:t>
      </w:r>
      <w:r w:rsidRPr="00756759">
        <w:rPr>
          <w:lang w:eastAsia="en-CA"/>
        </w:rPr>
        <w:t>, 2007 ABQB 176</w:t>
      </w:r>
      <w:r>
        <w:rPr>
          <w:lang w:eastAsia="en-CA"/>
        </w:rPr>
        <w:t xml:space="preserve"> </w:t>
      </w:r>
      <w:r w:rsidRPr="00756759">
        <w:rPr>
          <w:lang w:eastAsia="en-CA"/>
        </w:rPr>
        <w:t>at paras</w:t>
      </w:r>
      <w:r>
        <w:rPr>
          <w:lang w:eastAsia="en-CA"/>
        </w:rPr>
        <w:t>.</w:t>
      </w:r>
      <w:r w:rsidRPr="00756759">
        <w:rPr>
          <w:lang w:eastAsia="en-CA"/>
        </w:rPr>
        <w:t xml:space="preserve"> 192-193, aff’d 2008 ABCA 257.</w:t>
      </w:r>
    </w:p>
  </w:footnote>
  <w:footnote w:id="7">
    <w:p w14:paraId="6C6A322B" w14:textId="0F832376" w:rsidR="00D27B93" w:rsidRPr="00756759" w:rsidRDefault="00D27B93" w:rsidP="009062DE">
      <w:pPr>
        <w:pStyle w:val="FootnoteText"/>
        <w:jc w:val="both"/>
        <w:rPr>
          <w:lang w:val="en-US"/>
        </w:rPr>
      </w:pPr>
      <w:r w:rsidRPr="00756759">
        <w:rPr>
          <w:rStyle w:val="FootnoteReference"/>
        </w:rPr>
        <w:footnoteRef/>
      </w:r>
      <w:r w:rsidRPr="00756759">
        <w:t xml:space="preserve"> </w:t>
      </w:r>
      <w:proofErr w:type="spellStart"/>
      <w:r w:rsidRPr="00756759">
        <w:rPr>
          <w:i/>
        </w:rPr>
        <w:t>Bet</w:t>
      </w:r>
      <w:r>
        <w:rPr>
          <w:i/>
        </w:rPr>
        <w:t>s</w:t>
      </w:r>
      <w:r w:rsidRPr="00756759">
        <w:rPr>
          <w:i/>
        </w:rPr>
        <w:t>er</w:t>
      </w:r>
      <w:r>
        <w:rPr>
          <w:i/>
        </w:rPr>
        <w:t>-</w:t>
      </w:r>
      <w:r w:rsidRPr="00756759">
        <w:rPr>
          <w:i/>
        </w:rPr>
        <w:t>Zilevitch</w:t>
      </w:r>
      <w:proofErr w:type="spellEnd"/>
      <w:r w:rsidRPr="00756759">
        <w:t xml:space="preserve"> </w:t>
      </w:r>
      <w:r>
        <w:rPr>
          <w:i/>
          <w:iCs/>
        </w:rPr>
        <w:t xml:space="preserve">v. </w:t>
      </w:r>
      <w:proofErr w:type="spellStart"/>
      <w:r>
        <w:rPr>
          <w:i/>
          <w:iCs/>
        </w:rPr>
        <w:t>Nexen</w:t>
      </w:r>
      <w:proofErr w:type="spellEnd"/>
      <w:r>
        <w:rPr>
          <w:i/>
          <w:iCs/>
        </w:rPr>
        <w:t xml:space="preserve"> Inc. </w:t>
      </w:r>
      <w:r w:rsidRPr="00756759">
        <w:t>at para 3.</w:t>
      </w:r>
    </w:p>
  </w:footnote>
  <w:footnote w:id="8">
    <w:p w14:paraId="41139B00" w14:textId="3445641F" w:rsidR="00D27B93" w:rsidRPr="00756759" w:rsidRDefault="00D27B93" w:rsidP="00753CA1">
      <w:pPr>
        <w:pStyle w:val="Footer"/>
      </w:pPr>
      <w:r w:rsidRPr="00756759">
        <w:rPr>
          <w:rStyle w:val="FootnoteReference"/>
        </w:rPr>
        <w:footnoteRef/>
      </w:r>
      <w:r w:rsidRPr="00756759">
        <w:t xml:space="preserve"> </w:t>
      </w:r>
      <w:proofErr w:type="spellStart"/>
      <w:r w:rsidRPr="00756759">
        <w:rPr>
          <w:i/>
        </w:rPr>
        <w:t>Bet</w:t>
      </w:r>
      <w:r>
        <w:rPr>
          <w:i/>
        </w:rPr>
        <w:t>s</w:t>
      </w:r>
      <w:r w:rsidRPr="00756759">
        <w:rPr>
          <w:i/>
        </w:rPr>
        <w:t>er</w:t>
      </w:r>
      <w:r>
        <w:rPr>
          <w:i/>
        </w:rPr>
        <w:t>-</w:t>
      </w:r>
      <w:r w:rsidRPr="00756759">
        <w:rPr>
          <w:i/>
        </w:rPr>
        <w:t>Zilevitch</w:t>
      </w:r>
      <w:proofErr w:type="spellEnd"/>
      <w:r w:rsidRPr="00756759">
        <w:t xml:space="preserve"> </w:t>
      </w:r>
      <w:r>
        <w:rPr>
          <w:i/>
          <w:iCs/>
        </w:rPr>
        <w:t xml:space="preserve">v. </w:t>
      </w:r>
      <w:proofErr w:type="spellStart"/>
      <w:r>
        <w:rPr>
          <w:i/>
          <w:iCs/>
        </w:rPr>
        <w:t>Nexen</w:t>
      </w:r>
      <w:proofErr w:type="spellEnd"/>
      <w:r>
        <w:rPr>
          <w:i/>
          <w:iCs/>
        </w:rPr>
        <w:t xml:space="preserve"> Inc. </w:t>
      </w:r>
      <w:r w:rsidRPr="00756759">
        <w:rPr>
          <w:lang w:val="en-US"/>
        </w:rPr>
        <w:t>at para. 4</w:t>
      </w:r>
      <w:r>
        <w:rPr>
          <w:lang w:val="en-US"/>
        </w:rPr>
        <w:t xml:space="preserve">; </w:t>
      </w:r>
      <w:r w:rsidRPr="001F6313">
        <w:rPr>
          <w:i/>
          <w:iCs/>
        </w:rPr>
        <w:t>Soleil Hospitality Inc. v. Louie</w:t>
      </w:r>
      <w:r w:rsidRPr="00756759">
        <w:t>, 2006 BCSC 1920 at para</w:t>
      </w:r>
      <w:r>
        <w:t>.</w:t>
      </w:r>
      <w:r w:rsidRPr="00756759">
        <w:t xml:space="preserve"> 26, aff’d 2008 BCCA 206</w:t>
      </w:r>
      <w:r>
        <w:t>;</w:t>
      </w:r>
      <w:r w:rsidRPr="00756759">
        <w:t xml:space="preserve"> </w:t>
      </w:r>
      <w:r w:rsidRPr="00756759">
        <w:rPr>
          <w:i/>
        </w:rPr>
        <w:t>Vancouver Canucks Limited Partnership v Canon Canada Inc.</w:t>
      </w:r>
      <w:r w:rsidRPr="00756759">
        <w:t>, 2015 BCCA 144 at para. 79.</w:t>
      </w:r>
    </w:p>
  </w:footnote>
  <w:footnote w:id="9">
    <w:p w14:paraId="282E20C0" w14:textId="05E83B25" w:rsidR="00D27B93" w:rsidRPr="00756759" w:rsidRDefault="00D27B93" w:rsidP="009062DE">
      <w:pPr>
        <w:pStyle w:val="FootnoteText"/>
        <w:jc w:val="both"/>
      </w:pPr>
      <w:r w:rsidRPr="00756759">
        <w:rPr>
          <w:rStyle w:val="FootnoteReference"/>
        </w:rPr>
        <w:footnoteRef/>
      </w:r>
      <w:r w:rsidRPr="00756759">
        <w:t xml:space="preserve"> </w:t>
      </w:r>
      <w:proofErr w:type="spellStart"/>
      <w:r w:rsidRPr="00756759">
        <w:rPr>
          <w:i/>
        </w:rPr>
        <w:t>Bet</w:t>
      </w:r>
      <w:r>
        <w:rPr>
          <w:i/>
        </w:rPr>
        <w:t>s</w:t>
      </w:r>
      <w:r w:rsidRPr="00756759">
        <w:rPr>
          <w:i/>
        </w:rPr>
        <w:t>er</w:t>
      </w:r>
      <w:r>
        <w:rPr>
          <w:i/>
        </w:rPr>
        <w:t>-</w:t>
      </w:r>
      <w:r w:rsidRPr="00756759">
        <w:rPr>
          <w:i/>
        </w:rPr>
        <w:t>Zilevitch</w:t>
      </w:r>
      <w:proofErr w:type="spellEnd"/>
      <w:r w:rsidRPr="00756759">
        <w:t xml:space="preserve"> </w:t>
      </w:r>
      <w:r>
        <w:rPr>
          <w:i/>
          <w:iCs/>
        </w:rPr>
        <w:t xml:space="preserve">v. </w:t>
      </w:r>
      <w:proofErr w:type="spellStart"/>
      <w:r>
        <w:rPr>
          <w:i/>
          <w:iCs/>
        </w:rPr>
        <w:t>Nexen</w:t>
      </w:r>
      <w:proofErr w:type="spellEnd"/>
      <w:r>
        <w:rPr>
          <w:i/>
          <w:iCs/>
        </w:rPr>
        <w:t xml:space="preserve"> Inc. </w:t>
      </w:r>
      <w:r>
        <w:t>at para 3;</w:t>
      </w:r>
      <w:r w:rsidRPr="00756759">
        <w:rPr>
          <w:i/>
        </w:rPr>
        <w:t xml:space="preserve"> Rocca Group Ltd. v Consumers Distributing Co.</w:t>
      </w:r>
      <w:r w:rsidRPr="00756759">
        <w:t xml:space="preserve">, 1977 </w:t>
      </w:r>
      <w:proofErr w:type="spellStart"/>
      <w:r w:rsidRPr="00756759">
        <w:t>CarswellNS</w:t>
      </w:r>
      <w:proofErr w:type="spellEnd"/>
      <w:r w:rsidRPr="00756759">
        <w:t xml:space="preserve"> 306 (C.A.) at paras</w:t>
      </w:r>
      <w:r>
        <w:t>.</w:t>
      </w:r>
      <w:r w:rsidRPr="00756759">
        <w:t xml:space="preserve"> 29-30 and 42</w:t>
      </w:r>
      <w:r>
        <w:t xml:space="preserve">; </w:t>
      </w:r>
      <w:r w:rsidRPr="005A4361">
        <w:rPr>
          <w:rFonts w:cs="Arial"/>
          <w:i/>
        </w:rPr>
        <w:t xml:space="preserve">Wilson v. </w:t>
      </w:r>
      <w:proofErr w:type="spellStart"/>
      <w:r w:rsidRPr="005A4361">
        <w:rPr>
          <w:rFonts w:cs="Arial"/>
          <w:i/>
        </w:rPr>
        <w:t>Graydon</w:t>
      </w:r>
      <w:proofErr w:type="spellEnd"/>
      <w:r w:rsidRPr="005A4361">
        <w:rPr>
          <w:rFonts w:cs="Arial"/>
          <w:i/>
        </w:rPr>
        <w:t xml:space="preserve"> Hall Pizza &amp; Catering Ltd.</w:t>
      </w:r>
      <w:r w:rsidRPr="005A4361">
        <w:rPr>
          <w:rFonts w:cs="Arial"/>
        </w:rPr>
        <w:t>,</w:t>
      </w:r>
      <w:r w:rsidRPr="005A4361">
        <w:rPr>
          <w:rFonts w:eastAsia="Times New Roman" w:cs="Arial"/>
          <w:color w:val="212529"/>
        </w:rPr>
        <w:t xml:space="preserve">1994 </w:t>
      </w:r>
      <w:proofErr w:type="spellStart"/>
      <w:r w:rsidRPr="005A4361">
        <w:rPr>
          <w:rFonts w:eastAsia="Times New Roman" w:cs="Arial"/>
          <w:color w:val="212529"/>
        </w:rPr>
        <w:t>CanLII</w:t>
      </w:r>
      <w:proofErr w:type="spellEnd"/>
      <w:r w:rsidRPr="005A4361">
        <w:rPr>
          <w:rFonts w:eastAsia="Times New Roman" w:cs="Arial"/>
          <w:color w:val="212529"/>
        </w:rPr>
        <w:t xml:space="preserve"> 7535 (ON SC)</w:t>
      </w:r>
      <w:r w:rsidRPr="005A4361">
        <w:rPr>
          <w:rFonts w:cs="Arial"/>
        </w:rPr>
        <w:t xml:space="preserve"> at paras</w:t>
      </w:r>
      <w:r>
        <w:rPr>
          <w:rFonts w:cs="Arial"/>
        </w:rPr>
        <w:t>. 30 and 33(7)</w:t>
      </w:r>
      <w:r w:rsidRPr="005A4361">
        <w:rPr>
          <w:rFonts w:cs="Arial"/>
        </w:rPr>
        <w:t xml:space="preserve">, </w:t>
      </w:r>
      <w:proofErr w:type="spellStart"/>
      <w:r w:rsidRPr="005A4361">
        <w:rPr>
          <w:rFonts w:cs="Arial"/>
        </w:rPr>
        <w:t>aff</w:t>
      </w:r>
      <w:proofErr w:type="spellEnd"/>
      <w:r w:rsidRPr="005A4361">
        <w:rPr>
          <w:rFonts w:cs="Arial"/>
        </w:rPr>
        <w:t>’’d</w:t>
      </w:r>
      <w:r>
        <w:rPr>
          <w:rFonts w:cs="Arial"/>
        </w:rPr>
        <w:t xml:space="preserve"> </w:t>
      </w:r>
      <w:r w:rsidRPr="005A4361">
        <w:rPr>
          <w:rFonts w:eastAsia="Times New Roman" w:cs="Arial"/>
          <w:color w:val="212529"/>
        </w:rPr>
        <w:t xml:space="preserve">1996 </w:t>
      </w:r>
      <w:proofErr w:type="spellStart"/>
      <w:r w:rsidRPr="005A4361">
        <w:rPr>
          <w:rFonts w:eastAsia="Times New Roman" w:cs="Arial"/>
          <w:color w:val="212529"/>
        </w:rPr>
        <w:t>CanLII</w:t>
      </w:r>
      <w:proofErr w:type="spellEnd"/>
      <w:r w:rsidRPr="005A4361">
        <w:rPr>
          <w:rFonts w:eastAsia="Times New Roman" w:cs="Arial"/>
          <w:color w:val="212529"/>
        </w:rPr>
        <w:t xml:space="preserve"> 974 (ON </w:t>
      </w:r>
      <w:r>
        <w:rPr>
          <w:rFonts w:eastAsia="Times New Roman" w:cs="Arial"/>
          <w:color w:val="212529"/>
        </w:rPr>
        <w:t>CA).</w:t>
      </w:r>
    </w:p>
  </w:footnote>
  <w:footnote w:id="10">
    <w:p w14:paraId="1BEDAC7E" w14:textId="77777777" w:rsidR="00D27B93" w:rsidRPr="00756759" w:rsidRDefault="00D27B93">
      <w:pPr>
        <w:pStyle w:val="FootnoteText"/>
        <w:rPr>
          <w:lang w:val="en-US"/>
        </w:rPr>
      </w:pPr>
      <w:r w:rsidRPr="00756759">
        <w:rPr>
          <w:rStyle w:val="FootnoteReference"/>
        </w:rPr>
        <w:footnoteRef/>
      </w:r>
      <w:r w:rsidRPr="00756759">
        <w:t xml:space="preserve"> </w:t>
      </w:r>
      <w:r w:rsidRPr="00756759">
        <w:rPr>
          <w:i/>
        </w:rPr>
        <w:t xml:space="preserve">175 Ontario </w:t>
      </w:r>
      <w:r w:rsidRPr="00756759">
        <w:t xml:space="preserve">at </w:t>
      </w:r>
      <w:r w:rsidRPr="00756759">
        <w:rPr>
          <w:lang w:val="en-US"/>
        </w:rPr>
        <w:t>paras</w:t>
      </w:r>
      <w:r>
        <w:rPr>
          <w:lang w:val="en-US"/>
        </w:rPr>
        <w:t>.</w:t>
      </w:r>
      <w:r w:rsidRPr="00756759">
        <w:rPr>
          <w:lang w:val="en-US"/>
        </w:rPr>
        <w:t xml:space="preserve"> 40-41.</w:t>
      </w:r>
    </w:p>
  </w:footnote>
  <w:footnote w:id="11">
    <w:p w14:paraId="07FF29E8" w14:textId="2059177B" w:rsidR="00D27B93" w:rsidRPr="00756759" w:rsidRDefault="00D27B93" w:rsidP="006F2989">
      <w:pPr>
        <w:pStyle w:val="FootnoteText"/>
        <w:rPr>
          <w:lang w:val="en-US"/>
        </w:rPr>
      </w:pPr>
      <w:r w:rsidRPr="00756759">
        <w:rPr>
          <w:rStyle w:val="FootnoteReference"/>
        </w:rPr>
        <w:footnoteRef/>
      </w:r>
      <w:r w:rsidRPr="00756759">
        <w:t xml:space="preserve"> </w:t>
      </w:r>
      <w:r w:rsidRPr="005A4361">
        <w:rPr>
          <w:rFonts w:cs="Arial"/>
          <w:i/>
        </w:rPr>
        <w:t xml:space="preserve">Wilson v. </w:t>
      </w:r>
      <w:proofErr w:type="spellStart"/>
      <w:r w:rsidRPr="005A4361">
        <w:rPr>
          <w:rFonts w:cs="Arial"/>
          <w:i/>
        </w:rPr>
        <w:t>Graydon</w:t>
      </w:r>
      <w:proofErr w:type="spellEnd"/>
      <w:r w:rsidRPr="005A4361">
        <w:rPr>
          <w:rFonts w:cs="Arial"/>
          <w:i/>
        </w:rPr>
        <w:t xml:space="preserve"> Hall Pizza &amp; Catering Ltd.</w:t>
      </w:r>
      <w:r w:rsidRPr="005A4361">
        <w:rPr>
          <w:rFonts w:cs="Arial"/>
        </w:rPr>
        <w:t>,</w:t>
      </w:r>
      <w:r w:rsidRPr="005A4361">
        <w:rPr>
          <w:rFonts w:eastAsia="Times New Roman" w:cs="Arial"/>
          <w:color w:val="212529"/>
        </w:rPr>
        <w:t xml:space="preserve">1994 </w:t>
      </w:r>
      <w:proofErr w:type="spellStart"/>
      <w:r w:rsidRPr="005A4361">
        <w:rPr>
          <w:rFonts w:eastAsia="Times New Roman" w:cs="Arial"/>
          <w:color w:val="212529"/>
        </w:rPr>
        <w:t>CanLII</w:t>
      </w:r>
      <w:proofErr w:type="spellEnd"/>
      <w:r w:rsidRPr="005A4361">
        <w:rPr>
          <w:rFonts w:eastAsia="Times New Roman" w:cs="Arial"/>
          <w:color w:val="212529"/>
        </w:rPr>
        <w:t xml:space="preserve"> 7535 (ON SC)</w:t>
      </w:r>
      <w:r w:rsidRPr="005A4361">
        <w:rPr>
          <w:rFonts w:cs="Arial"/>
        </w:rPr>
        <w:t xml:space="preserve"> at paras 18, 33, and 37, </w:t>
      </w:r>
      <w:proofErr w:type="spellStart"/>
      <w:r w:rsidRPr="005A4361">
        <w:rPr>
          <w:rFonts w:cs="Arial"/>
        </w:rPr>
        <w:t>aff</w:t>
      </w:r>
      <w:proofErr w:type="spellEnd"/>
      <w:r w:rsidRPr="005A4361">
        <w:rPr>
          <w:rFonts w:cs="Arial"/>
        </w:rPr>
        <w:t>’’d</w:t>
      </w:r>
      <w:r>
        <w:rPr>
          <w:rFonts w:cs="Arial"/>
        </w:rPr>
        <w:t xml:space="preserve"> </w:t>
      </w:r>
      <w:r w:rsidRPr="005A4361">
        <w:rPr>
          <w:rFonts w:eastAsia="Times New Roman" w:cs="Arial"/>
          <w:color w:val="212529"/>
        </w:rPr>
        <w:t xml:space="preserve">1996 </w:t>
      </w:r>
      <w:proofErr w:type="spellStart"/>
      <w:r w:rsidRPr="005A4361">
        <w:rPr>
          <w:rFonts w:eastAsia="Times New Roman" w:cs="Arial"/>
          <w:color w:val="212529"/>
        </w:rPr>
        <w:t>CanLII</w:t>
      </w:r>
      <w:proofErr w:type="spellEnd"/>
      <w:r w:rsidRPr="005A4361">
        <w:rPr>
          <w:rFonts w:eastAsia="Times New Roman" w:cs="Arial"/>
          <w:color w:val="212529"/>
        </w:rPr>
        <w:t xml:space="preserve"> 974 (ON CA)</w:t>
      </w:r>
      <w:r>
        <w:rPr>
          <w:rFonts w:cs="Arial"/>
        </w:rPr>
        <w:t>.</w:t>
      </w:r>
    </w:p>
  </w:footnote>
  <w:footnote w:id="12">
    <w:p w14:paraId="62F74B5F" w14:textId="44FEF429" w:rsidR="00D27B93" w:rsidRPr="00756759" w:rsidRDefault="00D27B93" w:rsidP="003504E7">
      <w:pPr>
        <w:pStyle w:val="Footer"/>
      </w:pPr>
      <w:r w:rsidRPr="00756759">
        <w:rPr>
          <w:rStyle w:val="FootnoteReference"/>
        </w:rPr>
        <w:footnoteRef/>
      </w:r>
      <w:r w:rsidRPr="00756759">
        <w:t xml:space="preserve"> </w:t>
      </w:r>
      <w:r w:rsidRPr="0019027C">
        <w:rPr>
          <w:i/>
          <w:iCs/>
        </w:rPr>
        <w:t xml:space="preserve">Canada Square Corp. v. </w:t>
      </w:r>
      <w:proofErr w:type="spellStart"/>
      <w:r w:rsidRPr="0019027C">
        <w:rPr>
          <w:i/>
          <w:iCs/>
        </w:rPr>
        <w:t>V</w:t>
      </w:r>
      <w:r>
        <w:rPr>
          <w:i/>
          <w:iCs/>
        </w:rPr>
        <w:t>ersafood</w:t>
      </w:r>
      <w:proofErr w:type="spellEnd"/>
      <w:r>
        <w:rPr>
          <w:i/>
          <w:iCs/>
        </w:rPr>
        <w:t xml:space="preserve"> </w:t>
      </w:r>
      <w:r w:rsidRPr="0019027C">
        <w:rPr>
          <w:i/>
          <w:iCs/>
        </w:rPr>
        <w:t>Services Ltd.</w:t>
      </w:r>
      <w:r>
        <w:rPr>
          <w:iCs/>
        </w:rPr>
        <w:t>,</w:t>
      </w:r>
      <w:r w:rsidRPr="00756759">
        <w:rPr>
          <w:iCs/>
        </w:rPr>
        <w:t xml:space="preserve"> </w:t>
      </w:r>
      <w:hyperlink r:id="rId5" w:history="1">
        <w:r w:rsidRPr="00756759">
          <w:rPr>
            <w:rStyle w:val="Hyperlink"/>
            <w:color w:val="auto"/>
            <w:u w:val="none"/>
          </w:rPr>
          <w:t xml:space="preserve">1981 </w:t>
        </w:r>
        <w:proofErr w:type="spellStart"/>
        <w:r>
          <w:rPr>
            <w:rStyle w:val="Hyperlink"/>
            <w:color w:val="auto"/>
            <w:u w:val="none"/>
          </w:rPr>
          <w:t>CarswellOnt</w:t>
        </w:r>
        <w:proofErr w:type="spellEnd"/>
        <w:r>
          <w:rPr>
            <w:rStyle w:val="Hyperlink"/>
            <w:color w:val="auto"/>
            <w:u w:val="none"/>
          </w:rPr>
          <w:t xml:space="preserve"> 124 (</w:t>
        </w:r>
        <w:r w:rsidRPr="00756759">
          <w:rPr>
            <w:rStyle w:val="Hyperlink"/>
            <w:color w:val="auto"/>
            <w:u w:val="none"/>
          </w:rPr>
          <w:t>C</w:t>
        </w:r>
        <w:r>
          <w:rPr>
            <w:rStyle w:val="Hyperlink"/>
            <w:color w:val="auto"/>
            <w:u w:val="none"/>
          </w:rPr>
          <w:t>.A.</w:t>
        </w:r>
        <w:r w:rsidRPr="00756759">
          <w:rPr>
            <w:rStyle w:val="Hyperlink"/>
            <w:color w:val="auto"/>
            <w:u w:val="none"/>
          </w:rPr>
          <w:t>)</w:t>
        </w:r>
      </w:hyperlink>
      <w:r w:rsidRPr="00756759">
        <w:t xml:space="preserve"> at </w:t>
      </w:r>
      <w:r>
        <w:t>para. 34</w:t>
      </w:r>
      <w:r w:rsidRPr="00756759">
        <w:t xml:space="preserve"> citing </w:t>
      </w:r>
      <w:r w:rsidRPr="00756759">
        <w:rPr>
          <w:i/>
          <w:iCs/>
        </w:rPr>
        <w:t>G</w:t>
      </w:r>
      <w:r>
        <w:rPr>
          <w:i/>
          <w:iCs/>
        </w:rPr>
        <w:t>.</w:t>
      </w:r>
      <w:r w:rsidRPr="00756759">
        <w:rPr>
          <w:i/>
          <w:iCs/>
        </w:rPr>
        <w:t xml:space="preserve"> Scammell &amp; Nephew Ltd</w:t>
      </w:r>
      <w:r>
        <w:rPr>
          <w:i/>
          <w:iCs/>
        </w:rPr>
        <w:t>.</w:t>
      </w:r>
      <w:r w:rsidRPr="00756759">
        <w:rPr>
          <w:i/>
          <w:iCs/>
        </w:rPr>
        <w:t xml:space="preserve"> V</w:t>
      </w:r>
      <w:r>
        <w:rPr>
          <w:i/>
          <w:iCs/>
        </w:rPr>
        <w:t xml:space="preserve">. </w:t>
      </w:r>
      <w:proofErr w:type="spellStart"/>
      <w:r w:rsidRPr="00756759">
        <w:rPr>
          <w:i/>
          <w:iCs/>
        </w:rPr>
        <w:t>Ouston</w:t>
      </w:r>
      <w:proofErr w:type="spellEnd"/>
      <w:r w:rsidRPr="00756759">
        <w:t>, [1941] A</w:t>
      </w:r>
      <w:r>
        <w:t>.</w:t>
      </w:r>
      <w:r w:rsidRPr="00756759">
        <w:t>C</w:t>
      </w:r>
      <w:r>
        <w:t>.</w:t>
      </w:r>
      <w:r w:rsidRPr="00756759">
        <w:t xml:space="preserve"> 251 (H</w:t>
      </w:r>
      <w:r>
        <w:t>.</w:t>
      </w:r>
      <w:r w:rsidRPr="00756759">
        <w:t>O</w:t>
      </w:r>
      <w:r>
        <w:t>.</w:t>
      </w:r>
      <w:r w:rsidRPr="00756759">
        <w:t>L</w:t>
      </w:r>
      <w:r>
        <w:t>.</w:t>
      </w:r>
      <w:r w:rsidRPr="00756759">
        <w:t>) at 268</w:t>
      </w:r>
      <w:r>
        <w:t xml:space="preserve">. </w:t>
      </w:r>
      <w:r w:rsidRPr="00756759">
        <w:rPr>
          <w:lang w:val="en-US"/>
        </w:rPr>
        <w:t>See also</w:t>
      </w:r>
      <w:r>
        <w:rPr>
          <w:lang w:val="en-US"/>
        </w:rPr>
        <w:t xml:space="preserve">: </w:t>
      </w:r>
      <w:proofErr w:type="spellStart"/>
      <w:r w:rsidRPr="00756759">
        <w:rPr>
          <w:i/>
          <w:lang w:val="en-US"/>
        </w:rPr>
        <w:t>Desco</w:t>
      </w:r>
      <w:proofErr w:type="spellEnd"/>
      <w:r w:rsidRPr="00756759">
        <w:rPr>
          <w:i/>
          <w:lang w:val="en-US"/>
        </w:rPr>
        <w:t xml:space="preserve"> Plumbing and Heating Supply Inc</w:t>
      </w:r>
      <w:r>
        <w:rPr>
          <w:i/>
          <w:lang w:val="en-US"/>
        </w:rPr>
        <w:t>.</w:t>
      </w:r>
      <w:r w:rsidRPr="00756759">
        <w:rPr>
          <w:i/>
          <w:lang w:val="en-US"/>
        </w:rPr>
        <w:t xml:space="preserve"> v</w:t>
      </w:r>
      <w:r>
        <w:rPr>
          <w:i/>
          <w:lang w:val="en-US"/>
        </w:rPr>
        <w:t>.</w:t>
      </w:r>
      <w:r w:rsidRPr="00756759">
        <w:rPr>
          <w:i/>
          <w:lang w:val="en-US"/>
        </w:rPr>
        <w:t xml:space="preserve"> AVN Plumbing Limited et al</w:t>
      </w:r>
      <w:r>
        <w:rPr>
          <w:i/>
          <w:lang w:val="en-US"/>
        </w:rPr>
        <w:t>.</w:t>
      </w:r>
      <w:r w:rsidRPr="00756759">
        <w:rPr>
          <w:lang w:val="en-US"/>
        </w:rPr>
        <w:t>, 2020 ONSC 6728 at paras</w:t>
      </w:r>
      <w:r>
        <w:rPr>
          <w:lang w:val="en-US"/>
        </w:rPr>
        <w:t>.</w:t>
      </w:r>
      <w:r w:rsidRPr="00756759">
        <w:rPr>
          <w:lang w:val="en-US"/>
        </w:rPr>
        <w:t xml:space="preserve"> 79-81 and </w:t>
      </w:r>
      <w:proofErr w:type="spellStart"/>
      <w:r w:rsidRPr="00756759">
        <w:rPr>
          <w:i/>
          <w:iCs/>
          <w:lang w:eastAsia="en-CA"/>
        </w:rPr>
        <w:t>Klemke</w:t>
      </w:r>
      <w:proofErr w:type="spellEnd"/>
      <w:r w:rsidRPr="00756759">
        <w:rPr>
          <w:i/>
          <w:iCs/>
          <w:lang w:eastAsia="en-CA"/>
        </w:rPr>
        <w:t xml:space="preserve"> Mining Corp. v</w:t>
      </w:r>
      <w:r>
        <w:rPr>
          <w:i/>
          <w:iCs/>
          <w:lang w:eastAsia="en-CA"/>
        </w:rPr>
        <w:t>.</w:t>
      </w:r>
      <w:r w:rsidRPr="00756759">
        <w:rPr>
          <w:i/>
          <w:iCs/>
          <w:lang w:eastAsia="en-CA"/>
        </w:rPr>
        <w:t xml:space="preserve"> Shell Canada Ltd</w:t>
      </w:r>
      <w:r w:rsidRPr="00756759">
        <w:rPr>
          <w:lang w:eastAsia="en-CA"/>
        </w:rPr>
        <w:t>., 2008 ABCA 257 at pa</w:t>
      </w:r>
      <w:proofErr w:type="spellStart"/>
      <w:r w:rsidRPr="00756759">
        <w:rPr>
          <w:lang w:val="en-US"/>
        </w:rPr>
        <w:t>ras</w:t>
      </w:r>
      <w:proofErr w:type="spellEnd"/>
      <w:r>
        <w:rPr>
          <w:lang w:val="en-US"/>
        </w:rPr>
        <w:t>.</w:t>
      </w:r>
      <w:r w:rsidRPr="00756759">
        <w:rPr>
          <w:lang w:val="en-US"/>
        </w:rPr>
        <w:t xml:space="preserve"> 11 and 26.</w:t>
      </w:r>
    </w:p>
  </w:footnote>
  <w:footnote w:id="13">
    <w:p w14:paraId="44136E27" w14:textId="6366FC75" w:rsidR="00D27B93" w:rsidRPr="00756759" w:rsidRDefault="00D27B93" w:rsidP="008F02EF">
      <w:pPr>
        <w:pStyle w:val="FootnoteText"/>
        <w:rPr>
          <w:lang w:val="en-US"/>
        </w:rPr>
      </w:pPr>
      <w:r w:rsidRPr="00756759">
        <w:rPr>
          <w:rStyle w:val="FootnoteReference"/>
        </w:rPr>
        <w:footnoteRef/>
      </w:r>
      <w:r w:rsidRPr="00756759">
        <w:t xml:space="preserve"> </w:t>
      </w:r>
      <w:r w:rsidRPr="00756759">
        <w:rPr>
          <w:i/>
        </w:rPr>
        <w:t xml:space="preserve">175 Ontario </w:t>
      </w:r>
      <w:r w:rsidRPr="00756759">
        <w:t xml:space="preserve">at </w:t>
      </w:r>
      <w:r>
        <w:rPr>
          <w:lang w:val="en-US"/>
        </w:rPr>
        <w:t>p</w:t>
      </w:r>
      <w:r w:rsidRPr="00756759">
        <w:rPr>
          <w:lang w:val="en-US"/>
        </w:rPr>
        <w:t>aras</w:t>
      </w:r>
      <w:r>
        <w:rPr>
          <w:lang w:val="en-US"/>
        </w:rPr>
        <w:t>.</w:t>
      </w:r>
      <w:r w:rsidRPr="00756759">
        <w:rPr>
          <w:lang w:val="en-US"/>
        </w:rPr>
        <w:t xml:space="preserve"> </w:t>
      </w:r>
      <w:r>
        <w:rPr>
          <w:lang w:val="en-US"/>
        </w:rPr>
        <w:t>22 and 44-53</w:t>
      </w:r>
      <w:r w:rsidRPr="00756759">
        <w:rPr>
          <w:lang w:val="en-US"/>
        </w:rPr>
        <w:t xml:space="preserve">. </w:t>
      </w:r>
    </w:p>
  </w:footnote>
  <w:footnote w:id="14">
    <w:p w14:paraId="55AAAA50" w14:textId="7B227C3B" w:rsidR="00D27B93" w:rsidRPr="00756759" w:rsidRDefault="00D27B93" w:rsidP="005D49CF">
      <w:pPr>
        <w:pStyle w:val="FootnoteText"/>
        <w:rPr>
          <w:i/>
          <w:iCs/>
        </w:rPr>
      </w:pPr>
      <w:r w:rsidRPr="00756759">
        <w:rPr>
          <w:rStyle w:val="FootnoteReference"/>
        </w:rPr>
        <w:footnoteRef/>
      </w:r>
      <w:r w:rsidRPr="00756759">
        <w:t xml:space="preserve"> </w:t>
      </w:r>
      <w:r w:rsidRPr="00756759">
        <w:rPr>
          <w:i/>
          <w:iCs/>
        </w:rPr>
        <w:t>Gutierrez v</w:t>
      </w:r>
      <w:r>
        <w:rPr>
          <w:i/>
          <w:iCs/>
        </w:rPr>
        <w:t>.</w:t>
      </w:r>
      <w:r w:rsidRPr="00756759">
        <w:rPr>
          <w:i/>
          <w:iCs/>
        </w:rPr>
        <w:t xml:space="preserve"> Tropic International Ltd</w:t>
      </w:r>
      <w:r w:rsidRPr="00756759">
        <w:t xml:space="preserve"> (2002)</w:t>
      </w:r>
      <w:r w:rsidRPr="00756759">
        <w:rPr>
          <w:rStyle w:val="FootnoteTextChar"/>
        </w:rPr>
        <w:t>, 63 O</w:t>
      </w:r>
      <w:r>
        <w:rPr>
          <w:rStyle w:val="FootnoteTextChar"/>
        </w:rPr>
        <w:t>.</w:t>
      </w:r>
      <w:r w:rsidRPr="00756759">
        <w:rPr>
          <w:rStyle w:val="FootnoteTextChar"/>
        </w:rPr>
        <w:t>R</w:t>
      </w:r>
      <w:r>
        <w:rPr>
          <w:rStyle w:val="FootnoteTextChar"/>
        </w:rPr>
        <w:t>.</w:t>
      </w:r>
      <w:r w:rsidRPr="00756759">
        <w:rPr>
          <w:rStyle w:val="FootnoteTextChar"/>
        </w:rPr>
        <w:t xml:space="preserve"> (3d) 63 (C</w:t>
      </w:r>
      <w:r>
        <w:rPr>
          <w:rStyle w:val="FootnoteTextChar"/>
        </w:rPr>
        <w:t>.A.</w:t>
      </w:r>
      <w:r w:rsidRPr="00756759">
        <w:rPr>
          <w:rStyle w:val="FootnoteTextChar"/>
        </w:rPr>
        <w:t>) at paras</w:t>
      </w:r>
      <w:r>
        <w:rPr>
          <w:rStyle w:val="FootnoteTextChar"/>
        </w:rPr>
        <w:t>.</w:t>
      </w:r>
      <w:r w:rsidRPr="00756759">
        <w:rPr>
          <w:rStyle w:val="FootnoteTextChar"/>
        </w:rPr>
        <w:t xml:space="preserve"> 19 and 24</w:t>
      </w:r>
      <w:r>
        <w:rPr>
          <w:rStyle w:val="FootnoteTextChar"/>
        </w:rPr>
        <w:t xml:space="preserve"> [“</w:t>
      </w:r>
      <w:r w:rsidRPr="005A674A">
        <w:rPr>
          <w:b/>
          <w:i/>
          <w:iCs/>
        </w:rPr>
        <w:t>Gutierrez</w:t>
      </w:r>
      <w:r>
        <w:rPr>
          <w:iCs/>
        </w:rPr>
        <w:t>”]</w:t>
      </w:r>
      <w:r w:rsidRPr="00756759">
        <w:rPr>
          <w:rStyle w:val="FootnoteTextChar"/>
        </w:rPr>
        <w:t xml:space="preserve">. </w:t>
      </w:r>
    </w:p>
  </w:footnote>
  <w:footnote w:id="15">
    <w:p w14:paraId="5D948892" w14:textId="0623032D" w:rsidR="00D27B93" w:rsidRPr="000A1942" w:rsidRDefault="00D27B93">
      <w:pPr>
        <w:pStyle w:val="FootnoteText"/>
        <w:rPr>
          <w:lang w:val="en-US"/>
        </w:rPr>
      </w:pPr>
      <w:r>
        <w:rPr>
          <w:rStyle w:val="FootnoteReference"/>
        </w:rPr>
        <w:footnoteRef/>
      </w:r>
      <w:r>
        <w:t xml:space="preserve"> </w:t>
      </w:r>
      <w:r>
        <w:rPr>
          <w:i/>
        </w:rPr>
        <w:t xml:space="preserve">175 Ontario </w:t>
      </w:r>
      <w:r w:rsidRPr="00756759">
        <w:t>at para</w:t>
      </w:r>
      <w:r>
        <w:t>. 31.</w:t>
      </w:r>
    </w:p>
  </w:footnote>
  <w:footnote w:id="16">
    <w:p w14:paraId="0F54935C" w14:textId="77777777" w:rsidR="00D27B93" w:rsidRPr="00756759" w:rsidRDefault="00D27B93" w:rsidP="00004BCC">
      <w:pPr>
        <w:pStyle w:val="FootnoteText"/>
        <w:rPr>
          <w:lang w:val="en-US"/>
        </w:rPr>
      </w:pPr>
      <w:r w:rsidRPr="00756759">
        <w:rPr>
          <w:rStyle w:val="FootnoteReference"/>
        </w:rPr>
        <w:footnoteRef/>
      </w:r>
      <w:r w:rsidRPr="00756759">
        <w:t xml:space="preserve"> </w:t>
      </w:r>
      <w:r>
        <w:rPr>
          <w:i/>
        </w:rPr>
        <w:t xml:space="preserve">175 Ontario </w:t>
      </w:r>
      <w:r w:rsidRPr="00756759">
        <w:t>at paras</w:t>
      </w:r>
      <w:r>
        <w:t>.</w:t>
      </w:r>
      <w:r w:rsidRPr="00756759">
        <w:t xml:space="preserve"> 44-48, citing </w:t>
      </w:r>
      <w:r w:rsidRPr="00756759">
        <w:rPr>
          <w:i/>
        </w:rPr>
        <w:t>Singh v</w:t>
      </w:r>
      <w:r>
        <w:rPr>
          <w:i/>
        </w:rPr>
        <w:t>.</w:t>
      </w:r>
      <w:r w:rsidRPr="00756759">
        <w:rPr>
          <w:i/>
        </w:rPr>
        <w:t xml:space="preserve"> Trump</w:t>
      </w:r>
      <w:r w:rsidRPr="00756759">
        <w:t xml:space="preserve">, 2016 ONCA 747. </w:t>
      </w:r>
    </w:p>
  </w:footnote>
  <w:footnote w:id="17">
    <w:p w14:paraId="3AA5F129" w14:textId="77777777" w:rsidR="00D27B93" w:rsidRPr="00756759" w:rsidRDefault="00D27B93" w:rsidP="0084083F">
      <w:pPr>
        <w:pStyle w:val="FootnoteText"/>
      </w:pPr>
      <w:r w:rsidRPr="00756759">
        <w:rPr>
          <w:rStyle w:val="FootnoteReference"/>
        </w:rPr>
        <w:footnoteRef/>
      </w:r>
      <w:r w:rsidRPr="00756759">
        <w:t xml:space="preserve"> </w:t>
      </w:r>
      <w:r w:rsidRPr="00160B2E">
        <w:rPr>
          <w:i/>
          <w:szCs w:val="24"/>
        </w:rPr>
        <w:t>Royal Bank of Canada v</w:t>
      </w:r>
      <w:r>
        <w:rPr>
          <w:i/>
          <w:szCs w:val="24"/>
        </w:rPr>
        <w:t>.</w:t>
      </w:r>
      <w:r w:rsidRPr="00160B2E">
        <w:rPr>
          <w:i/>
          <w:szCs w:val="24"/>
        </w:rPr>
        <w:t xml:space="preserve"> 1643937 Ontario Inc</w:t>
      </w:r>
      <w:r>
        <w:rPr>
          <w:i/>
          <w:szCs w:val="24"/>
        </w:rPr>
        <w:t>.</w:t>
      </w:r>
      <w:r w:rsidRPr="00756759">
        <w:rPr>
          <w:szCs w:val="24"/>
        </w:rPr>
        <w:t>, 2021 ONCA 98 at para</w:t>
      </w:r>
      <w:r>
        <w:rPr>
          <w:szCs w:val="24"/>
        </w:rPr>
        <w:t>.</w:t>
      </w:r>
      <w:r w:rsidRPr="00756759">
        <w:rPr>
          <w:szCs w:val="24"/>
        </w:rPr>
        <w:t xml:space="preserve"> 43; </w:t>
      </w:r>
      <w:r w:rsidRPr="00D27B93">
        <w:rPr>
          <w:rStyle w:val="FootnoteTextChar"/>
          <w:i/>
        </w:rPr>
        <w:t>B</w:t>
      </w:r>
      <w:r>
        <w:rPr>
          <w:rStyle w:val="FootnoteTextChar"/>
          <w:i/>
        </w:rPr>
        <w:t>ank of Nova Scotia v.</w:t>
      </w:r>
      <w:r w:rsidRPr="00160B2E">
        <w:rPr>
          <w:rStyle w:val="FootnoteTextChar"/>
          <w:i/>
        </w:rPr>
        <w:t xml:space="preserve"> Zackheim</w:t>
      </w:r>
      <w:r w:rsidRPr="00756759">
        <w:rPr>
          <w:rStyle w:val="FootnoteTextChar"/>
        </w:rPr>
        <w:t xml:space="preserve"> (1983), 3 </w:t>
      </w:r>
      <w:r>
        <w:rPr>
          <w:rStyle w:val="FootnoteTextChar"/>
        </w:rPr>
        <w:t xml:space="preserve">D.L.R. </w:t>
      </w:r>
      <w:r w:rsidRPr="00756759">
        <w:rPr>
          <w:rStyle w:val="FootnoteTextChar"/>
        </w:rPr>
        <w:t>(4th) 760 (</w:t>
      </w:r>
      <w:r>
        <w:rPr>
          <w:rStyle w:val="FootnoteTextChar"/>
        </w:rPr>
        <w:t>Ont. C.A.) at</w:t>
      </w:r>
      <w:r w:rsidRPr="00756759">
        <w:rPr>
          <w:rStyle w:val="FootnoteTextChar"/>
        </w:rPr>
        <w:t xml:space="preserve"> 761-</w:t>
      </w:r>
      <w:r>
        <w:rPr>
          <w:rStyle w:val="FootnoteTextChar"/>
        </w:rPr>
        <w:t xml:space="preserve">762; </w:t>
      </w:r>
      <w:r w:rsidRPr="00160B2E">
        <w:rPr>
          <w:rStyle w:val="FootnoteTextChar"/>
          <w:i/>
        </w:rPr>
        <w:t>Beer v</w:t>
      </w:r>
      <w:r>
        <w:rPr>
          <w:rStyle w:val="FootnoteTextChar"/>
          <w:i/>
        </w:rPr>
        <w:t>.</w:t>
      </w:r>
      <w:r w:rsidRPr="00160B2E">
        <w:rPr>
          <w:rStyle w:val="FootnoteTextChar"/>
          <w:i/>
        </w:rPr>
        <w:t xml:space="preserve"> </w:t>
      </w:r>
      <w:proofErr w:type="spellStart"/>
      <w:r w:rsidRPr="00160B2E">
        <w:rPr>
          <w:rStyle w:val="FootnoteTextChar"/>
          <w:i/>
        </w:rPr>
        <w:t>Townsgate</w:t>
      </w:r>
      <w:proofErr w:type="spellEnd"/>
      <w:r w:rsidRPr="00160B2E">
        <w:rPr>
          <w:rStyle w:val="FootnoteTextChar"/>
          <w:i/>
        </w:rPr>
        <w:t xml:space="preserve"> I Ltd</w:t>
      </w:r>
      <w:r>
        <w:rPr>
          <w:rStyle w:val="FootnoteTextChar"/>
          <w:i/>
        </w:rPr>
        <w:t>.</w:t>
      </w:r>
      <w:r w:rsidRPr="00160B2E">
        <w:rPr>
          <w:rStyle w:val="FootnoteTextChar"/>
          <w:i/>
        </w:rPr>
        <w:t xml:space="preserve"> </w:t>
      </w:r>
      <w:r w:rsidRPr="00756759">
        <w:rPr>
          <w:rStyle w:val="FootnoteTextChar"/>
        </w:rPr>
        <w:t xml:space="preserve">(1997), 152 </w:t>
      </w:r>
      <w:r>
        <w:rPr>
          <w:rStyle w:val="FootnoteTextChar"/>
        </w:rPr>
        <w:t xml:space="preserve">D.L.R. </w:t>
      </w:r>
      <w:r w:rsidRPr="00756759">
        <w:rPr>
          <w:rStyle w:val="FootnoteTextChar"/>
        </w:rPr>
        <w:t>(4th) 671 (</w:t>
      </w:r>
      <w:r>
        <w:rPr>
          <w:rStyle w:val="FootnoteTextChar"/>
        </w:rPr>
        <w:t>Ont. C.A.</w:t>
      </w:r>
      <w:r w:rsidRPr="00756759">
        <w:rPr>
          <w:rStyle w:val="FootnoteTextChar"/>
        </w:rPr>
        <w:t xml:space="preserve">), at paras. 25-32, leave to appeal refused, [1997] </w:t>
      </w:r>
      <w:r>
        <w:rPr>
          <w:rStyle w:val="FootnoteTextChar"/>
        </w:rPr>
        <w:t xml:space="preserve">S.C.C.A. No. </w:t>
      </w:r>
      <w:r w:rsidRPr="00756759">
        <w:rPr>
          <w:rStyle w:val="FootnoteTextChar"/>
        </w:rPr>
        <w:t xml:space="preserve">666. </w:t>
      </w:r>
    </w:p>
  </w:footnote>
  <w:footnote w:id="18">
    <w:p w14:paraId="6EFFB3AB" w14:textId="6EF6AD72" w:rsidR="00D27B93" w:rsidRPr="00756759" w:rsidRDefault="00D27B93" w:rsidP="00D311F9">
      <w:pPr>
        <w:pStyle w:val="FootnoteText"/>
        <w:spacing w:before="240"/>
        <w:rPr>
          <w:lang w:val="en-US"/>
        </w:rPr>
      </w:pPr>
      <w:r w:rsidRPr="00756759">
        <w:rPr>
          <w:rStyle w:val="FootnoteReference"/>
        </w:rPr>
        <w:footnoteRef/>
      </w:r>
      <w:r w:rsidRPr="00756759">
        <w:t xml:space="preserve"> </w:t>
      </w:r>
      <w:r w:rsidRPr="00756759">
        <w:rPr>
          <w:i/>
        </w:rPr>
        <w:t>175</w:t>
      </w:r>
      <w:r>
        <w:rPr>
          <w:i/>
        </w:rPr>
        <w:t xml:space="preserve"> Ontario </w:t>
      </w:r>
      <w:r w:rsidRPr="00756759">
        <w:t>at paras</w:t>
      </w:r>
      <w:r>
        <w:t>.</w:t>
      </w:r>
      <w:r w:rsidRPr="00756759">
        <w:t xml:space="preserve"> </w:t>
      </w:r>
      <w:r>
        <w:t>49-</w:t>
      </w:r>
      <w:r w:rsidRPr="00756759">
        <w:t>53.</w:t>
      </w:r>
    </w:p>
  </w:footnote>
  <w:footnote w:id="19">
    <w:p w14:paraId="6921552A" w14:textId="1E29F049" w:rsidR="00D27B93" w:rsidRPr="005A674A" w:rsidRDefault="00D27B93" w:rsidP="005A674A">
      <w:pPr>
        <w:pStyle w:val="FootnoteText"/>
        <w:rPr>
          <w:lang w:val="en-US"/>
        </w:rPr>
      </w:pPr>
      <w:r>
        <w:rPr>
          <w:rStyle w:val="FootnoteReference"/>
        </w:rPr>
        <w:footnoteRef/>
      </w:r>
      <w:r>
        <w:t xml:space="preserve"> </w:t>
      </w:r>
      <w:r w:rsidRPr="00756759">
        <w:rPr>
          <w:i/>
          <w:iCs/>
        </w:rPr>
        <w:t>Gutierrez</w:t>
      </w:r>
      <w:r>
        <w:rPr>
          <w:iCs/>
        </w:rPr>
        <w:t xml:space="preserve"> at paras. 16 and 26-27.</w:t>
      </w:r>
    </w:p>
  </w:footnote>
  <w:footnote w:id="20">
    <w:p w14:paraId="09B668AA" w14:textId="0F101D86" w:rsidR="00D27B93" w:rsidRPr="00756759" w:rsidRDefault="00D27B93" w:rsidP="005329AE">
      <w:pPr>
        <w:pStyle w:val="FootnoteText"/>
        <w:rPr>
          <w:lang w:val="en-US"/>
        </w:rPr>
      </w:pPr>
      <w:r w:rsidRPr="00756759">
        <w:rPr>
          <w:rStyle w:val="FootnoteReference"/>
        </w:rPr>
        <w:footnoteRef/>
      </w:r>
      <w:r w:rsidRPr="00756759">
        <w:t xml:space="preserve"> </w:t>
      </w:r>
      <w:proofErr w:type="spellStart"/>
      <w:r w:rsidRPr="00756759">
        <w:rPr>
          <w:i/>
          <w:shd w:val="clear" w:color="auto" w:fill="FFFFFF"/>
        </w:rPr>
        <w:t>Soboczynski</w:t>
      </w:r>
      <w:proofErr w:type="spellEnd"/>
      <w:r w:rsidRPr="00756759">
        <w:rPr>
          <w:i/>
          <w:shd w:val="clear" w:color="auto" w:fill="FFFFFF"/>
        </w:rPr>
        <w:t xml:space="preserve"> v Beauchamp</w:t>
      </w:r>
      <w:r>
        <w:rPr>
          <w:shd w:val="clear" w:color="auto" w:fill="FFFFFF"/>
        </w:rPr>
        <w:t>, 2015 ONCA 282 [“</w:t>
      </w:r>
      <w:proofErr w:type="spellStart"/>
      <w:r>
        <w:rPr>
          <w:b/>
          <w:i/>
          <w:shd w:val="clear" w:color="auto" w:fill="FFFFFF"/>
        </w:rPr>
        <w:t>Soboczynski</w:t>
      </w:r>
      <w:proofErr w:type="spellEnd"/>
      <w:r>
        <w:rPr>
          <w:shd w:val="clear" w:color="auto" w:fill="FFFFFF"/>
        </w:rPr>
        <w:t xml:space="preserve">”] </w:t>
      </w:r>
      <w:r w:rsidRPr="00756759">
        <w:rPr>
          <w:shd w:val="clear" w:color="auto" w:fill="FFFFFF"/>
        </w:rPr>
        <w:t>at para</w:t>
      </w:r>
      <w:r>
        <w:rPr>
          <w:shd w:val="clear" w:color="auto" w:fill="FFFFFF"/>
        </w:rPr>
        <w:t>s.</w:t>
      </w:r>
      <w:r w:rsidRPr="00756759">
        <w:rPr>
          <w:shd w:val="clear" w:color="auto" w:fill="FFFFFF"/>
        </w:rPr>
        <w:t xml:space="preserve"> 41</w:t>
      </w:r>
      <w:r>
        <w:rPr>
          <w:shd w:val="clear" w:color="auto" w:fill="FFFFFF"/>
        </w:rPr>
        <w:t>-43. D</w:t>
      </w:r>
      <w:r>
        <w:rPr>
          <w:color w:val="000000"/>
          <w:shd w:val="clear" w:color="auto" w:fill="FFFFFF"/>
        </w:rPr>
        <w:t>espite this finding, the Court of Appeal dismissed the action because the plaintiff had not made out the reliance element of the negligent misrepresentation claim (para. 69)</w:t>
      </w:r>
      <w:r w:rsidRPr="00756759">
        <w:rPr>
          <w:shd w:val="clear" w:color="auto" w:fill="FFFFFF"/>
        </w:rPr>
        <w:t xml:space="preserve">. </w:t>
      </w:r>
    </w:p>
  </w:footnote>
  <w:footnote w:id="21">
    <w:p w14:paraId="08CC6C01" w14:textId="51863E47" w:rsidR="00D27B93" w:rsidRPr="00756759" w:rsidRDefault="00D27B93">
      <w:pPr>
        <w:pStyle w:val="FootnoteText"/>
        <w:rPr>
          <w:lang w:val="en-US"/>
        </w:rPr>
      </w:pPr>
      <w:r w:rsidRPr="00756759">
        <w:rPr>
          <w:rStyle w:val="FootnoteReference"/>
        </w:rPr>
        <w:footnoteRef/>
      </w:r>
      <w:r w:rsidRPr="00756759">
        <w:t xml:space="preserve"> </w:t>
      </w:r>
      <w:proofErr w:type="spellStart"/>
      <w:r>
        <w:rPr>
          <w:bCs/>
          <w:i/>
        </w:rPr>
        <w:t>Shelanu</w:t>
      </w:r>
      <w:proofErr w:type="spellEnd"/>
      <w:r>
        <w:rPr>
          <w:bCs/>
          <w:i/>
        </w:rPr>
        <w:t xml:space="preserve"> Inc</w:t>
      </w:r>
      <w:r w:rsidRPr="00756759">
        <w:rPr>
          <w:bCs/>
          <w:i/>
        </w:rPr>
        <w:t xml:space="preserve"> </w:t>
      </w:r>
      <w:r>
        <w:rPr>
          <w:bCs/>
          <w:i/>
        </w:rPr>
        <w:t>v Print Three Franchising Corp</w:t>
      </w:r>
      <w:r w:rsidRPr="00756759">
        <w:rPr>
          <w:bCs/>
        </w:rPr>
        <w:t xml:space="preserve">, 2003 </w:t>
      </w:r>
      <w:proofErr w:type="spellStart"/>
      <w:r w:rsidRPr="00756759">
        <w:rPr>
          <w:bCs/>
        </w:rPr>
        <w:t>CanLII</w:t>
      </w:r>
      <w:proofErr w:type="spellEnd"/>
      <w:r w:rsidRPr="00756759">
        <w:rPr>
          <w:bCs/>
        </w:rPr>
        <w:t xml:space="preserve"> 52151 (O</w:t>
      </w:r>
      <w:r>
        <w:rPr>
          <w:bCs/>
        </w:rPr>
        <w:t>nt.</w:t>
      </w:r>
      <w:r w:rsidRPr="00756759">
        <w:rPr>
          <w:bCs/>
        </w:rPr>
        <w:t xml:space="preserve"> C</w:t>
      </w:r>
      <w:r>
        <w:rPr>
          <w:bCs/>
        </w:rPr>
        <w:t>.</w:t>
      </w:r>
      <w:r w:rsidRPr="00756759">
        <w:rPr>
          <w:bCs/>
        </w:rPr>
        <w:t>A</w:t>
      </w:r>
      <w:r>
        <w:rPr>
          <w:bCs/>
        </w:rPr>
        <w:t>.</w:t>
      </w:r>
      <w:r w:rsidRPr="00756759">
        <w:rPr>
          <w:bCs/>
        </w:rPr>
        <w:t>) [“</w:t>
      </w:r>
      <w:proofErr w:type="spellStart"/>
      <w:r w:rsidRPr="004658D7">
        <w:rPr>
          <w:b/>
          <w:bCs/>
          <w:i/>
        </w:rPr>
        <w:t>Shelanu</w:t>
      </w:r>
      <w:proofErr w:type="spellEnd"/>
      <w:r w:rsidRPr="00756759">
        <w:rPr>
          <w:bCs/>
        </w:rPr>
        <w:t>”]</w:t>
      </w:r>
      <w:r>
        <w:rPr>
          <w:bCs/>
        </w:rPr>
        <w:t xml:space="preserve"> at </w:t>
      </w:r>
      <w:r w:rsidRPr="00756759">
        <w:rPr>
          <w:bCs/>
        </w:rPr>
        <w:t>para</w:t>
      </w:r>
      <w:r>
        <w:rPr>
          <w:bCs/>
        </w:rPr>
        <w:t>s.</w:t>
      </w:r>
      <w:r w:rsidRPr="00756759">
        <w:rPr>
          <w:bCs/>
        </w:rPr>
        <w:t xml:space="preserve"> </w:t>
      </w:r>
      <w:r>
        <w:rPr>
          <w:bCs/>
        </w:rPr>
        <w:t>46-</w:t>
      </w:r>
      <w:r w:rsidRPr="00756759">
        <w:rPr>
          <w:bCs/>
        </w:rPr>
        <w:t>47.</w:t>
      </w:r>
    </w:p>
  </w:footnote>
  <w:footnote w:id="22">
    <w:p w14:paraId="36EE9C67" w14:textId="77777777" w:rsidR="00D27B93" w:rsidRPr="00874D9A" w:rsidRDefault="00D27B93">
      <w:pPr>
        <w:pStyle w:val="FootnoteText"/>
      </w:pPr>
      <w:r>
        <w:rPr>
          <w:rStyle w:val="FootnoteReference"/>
        </w:rPr>
        <w:footnoteRef/>
      </w:r>
      <w:r>
        <w:t xml:space="preserve"> </w:t>
      </w:r>
      <w:proofErr w:type="spellStart"/>
      <w:r>
        <w:rPr>
          <w:i/>
          <w:iCs/>
        </w:rPr>
        <w:t>Shelanu</w:t>
      </w:r>
      <w:proofErr w:type="spellEnd"/>
      <w:r>
        <w:rPr>
          <w:i/>
          <w:iCs/>
        </w:rPr>
        <w:t xml:space="preserve"> </w:t>
      </w:r>
      <w:r>
        <w:t>at paras 49-50.</w:t>
      </w:r>
    </w:p>
  </w:footnote>
  <w:footnote w:id="23">
    <w:p w14:paraId="25580A27" w14:textId="77777777" w:rsidR="00D27B93" w:rsidRPr="00756759" w:rsidRDefault="00D27B93">
      <w:pPr>
        <w:pStyle w:val="FootnoteText"/>
        <w:rPr>
          <w:lang w:val="en-US"/>
        </w:rPr>
      </w:pPr>
      <w:r w:rsidRPr="00756759">
        <w:rPr>
          <w:rStyle w:val="FootnoteReference"/>
        </w:rPr>
        <w:footnoteRef/>
      </w:r>
      <w:r w:rsidRPr="00756759">
        <w:t xml:space="preserve"> </w:t>
      </w:r>
      <w:proofErr w:type="spellStart"/>
      <w:r w:rsidRPr="00756759">
        <w:rPr>
          <w:bCs/>
          <w:i/>
        </w:rPr>
        <w:t>Shelanu</w:t>
      </w:r>
      <w:proofErr w:type="spellEnd"/>
      <w:r w:rsidRPr="00756759">
        <w:rPr>
          <w:bCs/>
          <w:i/>
        </w:rPr>
        <w:t xml:space="preserve"> </w:t>
      </w:r>
      <w:r w:rsidRPr="00756759">
        <w:rPr>
          <w:bCs/>
        </w:rPr>
        <w:t>at paras</w:t>
      </w:r>
      <w:r>
        <w:rPr>
          <w:bCs/>
        </w:rPr>
        <w:t>.</w:t>
      </w:r>
      <w:r w:rsidRPr="00756759">
        <w:rPr>
          <w:bCs/>
        </w:rPr>
        <w:t xml:space="preserve"> 46-50.</w:t>
      </w:r>
    </w:p>
  </w:footnote>
  <w:footnote w:id="24">
    <w:p w14:paraId="3D8A3EF4" w14:textId="0D10E2FA" w:rsidR="00D27B93" w:rsidRPr="00305166" w:rsidRDefault="00D27B93">
      <w:pPr>
        <w:pStyle w:val="FootnoteText"/>
        <w:rPr>
          <w:lang w:val="en-US"/>
        </w:rPr>
      </w:pPr>
      <w:r>
        <w:rPr>
          <w:rStyle w:val="FootnoteReference"/>
        </w:rPr>
        <w:footnoteRef/>
      </w:r>
      <w:r>
        <w:t xml:space="preserve"> </w:t>
      </w:r>
      <w:r>
        <w:rPr>
          <w:i/>
          <w:lang w:val="en-US"/>
        </w:rPr>
        <w:t>6646107 Canada v. The TDL</w:t>
      </w:r>
      <w:r>
        <w:rPr>
          <w:lang w:val="en-US"/>
        </w:rPr>
        <w:t xml:space="preserve">, 2019 ONSC 2240 at paras. 14-18. </w:t>
      </w:r>
    </w:p>
  </w:footnote>
  <w:footnote w:id="25">
    <w:p w14:paraId="553F6DAC" w14:textId="7BCB43C3" w:rsidR="00D27B93" w:rsidRPr="00D27B93" w:rsidRDefault="00D27B93" w:rsidP="00D27B93">
      <w:pPr>
        <w:pStyle w:val="FootnoteText"/>
      </w:pPr>
      <w:r w:rsidRPr="00756759">
        <w:rPr>
          <w:rStyle w:val="FootnoteReference"/>
        </w:rPr>
        <w:footnoteRef/>
      </w:r>
      <w:r w:rsidRPr="00756759">
        <w:t xml:space="preserve"> </w:t>
      </w:r>
      <w:r w:rsidRPr="00D27B93">
        <w:rPr>
          <w:i/>
          <w:iCs/>
        </w:rPr>
        <w:t>Bauer v. Bank of Montreal</w:t>
      </w:r>
      <w:r w:rsidRPr="00756759">
        <w:t>, [1980] 2 S.C.R. 102 at 112-113</w:t>
      </w:r>
      <w:r>
        <w:rPr>
          <w:iCs/>
        </w:rPr>
        <w:t xml:space="preserve">; </w:t>
      </w:r>
      <w:r w:rsidRPr="00D27B93">
        <w:rPr>
          <w:i/>
          <w:iCs/>
        </w:rPr>
        <w:t>Gutierrez</w:t>
      </w:r>
      <w:r w:rsidRPr="00756759">
        <w:t xml:space="preserve"> at</w:t>
      </w:r>
      <w:r w:rsidRPr="00756759">
        <w:rPr>
          <w:rStyle w:val="FootnoteTextChar"/>
        </w:rPr>
        <w:t xml:space="preserve"> para 19</w:t>
      </w:r>
      <w:r w:rsidRPr="00756759">
        <w:t>;</w:t>
      </w:r>
      <w:r w:rsidRPr="00D27B93">
        <w:rPr>
          <w:i/>
        </w:rPr>
        <w:t xml:space="preserve"> </w:t>
      </w:r>
      <w:r w:rsidRPr="00D27B93">
        <w:rPr>
          <w:i/>
          <w:iCs/>
        </w:rPr>
        <w:t xml:space="preserve">Nova Growth v. </w:t>
      </w:r>
      <w:proofErr w:type="spellStart"/>
      <w:r w:rsidRPr="00D27B93">
        <w:rPr>
          <w:i/>
          <w:iCs/>
        </w:rPr>
        <w:t>Kepinski</w:t>
      </w:r>
      <w:proofErr w:type="spellEnd"/>
      <w:r w:rsidRPr="00756759">
        <w:rPr>
          <w:rFonts w:eastAsia="TimesNewRomanPSMT"/>
        </w:rPr>
        <w:t xml:space="preserve">, </w:t>
      </w:r>
      <w:r w:rsidRPr="00756759">
        <w:t>2014 ONSC 2673 (</w:t>
      </w:r>
      <w:r>
        <w:t>Comm.</w:t>
      </w:r>
      <w:r w:rsidRPr="00756759">
        <w:t xml:space="preserve"> List</w:t>
      </w:r>
      <w:r>
        <w:t>.)</w:t>
      </w:r>
      <w:r w:rsidRPr="00756759">
        <w:t xml:space="preserve"> at para</w:t>
      </w:r>
      <w:r>
        <w:t>.</w:t>
      </w:r>
      <w:r w:rsidRPr="00756759">
        <w:t xml:space="preserve"> 64; </w:t>
      </w:r>
      <w:r w:rsidRPr="00D27B93">
        <w:rPr>
          <w:i/>
        </w:rPr>
        <w:t>Power Consolidated (China) Pulp Inc</w:t>
      </w:r>
      <w:r>
        <w:rPr>
          <w:i/>
        </w:rPr>
        <w:t>.</w:t>
      </w:r>
      <w:r w:rsidRPr="00D27B93">
        <w:rPr>
          <w:i/>
        </w:rPr>
        <w:t xml:space="preserve"> v. British Columbia Resources Investment Corp</w:t>
      </w:r>
      <w:r>
        <w:rPr>
          <w:i/>
        </w:rPr>
        <w:t>.</w:t>
      </w:r>
      <w:r w:rsidRPr="00756759">
        <w:t>, 1989CarswellBC 1705 (</w:t>
      </w:r>
      <w:r>
        <w:t>S.C.</w:t>
      </w:r>
      <w:r w:rsidRPr="00756759">
        <w:t xml:space="preserve"> [In Chambers]) at p</w:t>
      </w:r>
      <w:r>
        <w:t xml:space="preserve">aras. 7 and 15, per </w:t>
      </w:r>
      <w:proofErr w:type="spellStart"/>
      <w:r>
        <w:t>McLachlin</w:t>
      </w:r>
      <w:proofErr w:type="spellEnd"/>
      <w:r>
        <w:t xml:space="preserve"> C.J.S.</w:t>
      </w:r>
      <w:r w:rsidRPr="00756759">
        <w:t>C</w:t>
      </w:r>
      <w:r>
        <w:t>.</w:t>
      </w:r>
      <w:r w:rsidRPr="00756759">
        <w:t>, as she then was.</w:t>
      </w:r>
    </w:p>
  </w:footnote>
  <w:footnote w:id="26">
    <w:p w14:paraId="72AC2423" w14:textId="03E063CD" w:rsidR="00D27B93" w:rsidRPr="0007314D" w:rsidRDefault="00D27B93" w:rsidP="00D27B93">
      <w:pPr>
        <w:pStyle w:val="FootnoteText"/>
        <w:rPr>
          <w:bCs/>
        </w:rPr>
      </w:pPr>
      <w:r w:rsidRPr="00756759">
        <w:rPr>
          <w:rStyle w:val="FootnoteReference"/>
        </w:rPr>
        <w:footnoteRef/>
      </w:r>
      <w:r w:rsidRPr="00756759">
        <w:t xml:space="preserve"> </w:t>
      </w:r>
      <w:proofErr w:type="spellStart"/>
      <w:r>
        <w:rPr>
          <w:bCs/>
        </w:rPr>
        <w:t>Shelanu</w:t>
      </w:r>
      <w:proofErr w:type="spellEnd"/>
      <w:r>
        <w:rPr>
          <w:bCs/>
        </w:rPr>
        <w:t xml:space="preserve"> </w:t>
      </w:r>
      <w:r w:rsidRPr="00756759">
        <w:rPr>
          <w:bCs/>
        </w:rPr>
        <w:t>at par</w:t>
      </w:r>
      <w:r>
        <w:rPr>
          <w:bCs/>
        </w:rPr>
        <w:t xml:space="preserve">as. </w:t>
      </w:r>
      <w:r w:rsidRPr="00756759">
        <w:rPr>
          <w:bCs/>
        </w:rPr>
        <w:t xml:space="preserve">46-50; </w:t>
      </w:r>
      <w:proofErr w:type="spellStart"/>
      <w:r>
        <w:rPr>
          <w:shd w:val="clear" w:color="auto" w:fill="FFFFFF"/>
        </w:rPr>
        <w:t>Soboczynski</w:t>
      </w:r>
      <w:proofErr w:type="spellEnd"/>
      <w:r>
        <w:rPr>
          <w:shd w:val="clear" w:color="auto" w:fill="FFFFFF"/>
        </w:rPr>
        <w:t xml:space="preserve"> at </w:t>
      </w:r>
      <w:r w:rsidRPr="00756759">
        <w:rPr>
          <w:shd w:val="clear" w:color="auto" w:fill="FFFFFF"/>
        </w:rPr>
        <w:t>para</w:t>
      </w:r>
      <w:r>
        <w:rPr>
          <w:shd w:val="clear" w:color="auto" w:fill="FFFFFF"/>
        </w:rPr>
        <w:t>.</w:t>
      </w:r>
      <w:r w:rsidRPr="00756759">
        <w:rPr>
          <w:shd w:val="clear" w:color="auto" w:fill="FFFFFF"/>
        </w:rPr>
        <w:t xml:space="preserve"> 41</w:t>
      </w:r>
      <w:r>
        <w:rPr>
          <w:shd w:val="clear" w:color="auto" w:fill="FFFFFF"/>
        </w:rPr>
        <w:t>.</w:t>
      </w:r>
    </w:p>
  </w:footnote>
  <w:footnote w:id="27">
    <w:p w14:paraId="17B3E172" w14:textId="16F20BA2" w:rsidR="00D27B93" w:rsidRPr="0007314D" w:rsidRDefault="00D27B93">
      <w:pPr>
        <w:pStyle w:val="FootnoteText"/>
        <w:rPr>
          <w:lang w:val="en-US"/>
        </w:rPr>
      </w:pPr>
      <w:r>
        <w:rPr>
          <w:rStyle w:val="FootnoteReference"/>
        </w:rPr>
        <w:footnoteRef/>
      </w:r>
      <w:r>
        <w:t xml:space="preserve"> </w:t>
      </w:r>
      <w:r w:rsidRPr="00756759">
        <w:rPr>
          <w:bCs/>
          <w:i/>
        </w:rPr>
        <w:t>Barber v</w:t>
      </w:r>
      <w:r>
        <w:rPr>
          <w:bCs/>
          <w:i/>
        </w:rPr>
        <w:t>.</w:t>
      </w:r>
      <w:r w:rsidRPr="00756759">
        <w:rPr>
          <w:bCs/>
          <w:i/>
        </w:rPr>
        <w:t xml:space="preserve"> Glen</w:t>
      </w:r>
      <w:r w:rsidRPr="00756759">
        <w:rPr>
          <w:bCs/>
        </w:rPr>
        <w:t xml:space="preserve">, </w:t>
      </w:r>
      <w:r w:rsidRPr="0007314D">
        <w:rPr>
          <w:bCs/>
        </w:rPr>
        <w:t xml:space="preserve">1987 </w:t>
      </w:r>
      <w:proofErr w:type="spellStart"/>
      <w:r w:rsidRPr="0007314D">
        <w:rPr>
          <w:bCs/>
        </w:rPr>
        <w:t>CanLII</w:t>
      </w:r>
      <w:proofErr w:type="spellEnd"/>
      <w:r w:rsidRPr="0007314D">
        <w:rPr>
          <w:bCs/>
        </w:rPr>
        <w:t xml:space="preserve"> 4627 (SK CA)</w:t>
      </w:r>
      <w:r>
        <w:rPr>
          <w:bCs/>
        </w:rPr>
        <w:t xml:space="preserve"> </w:t>
      </w:r>
      <w:r w:rsidRPr="00756759">
        <w:rPr>
          <w:bCs/>
        </w:rPr>
        <w:t>at para</w:t>
      </w:r>
      <w:r>
        <w:rPr>
          <w:bCs/>
        </w:rPr>
        <w:t xml:space="preserve">s 9-11. </w:t>
      </w:r>
    </w:p>
  </w:footnote>
  <w:footnote w:id="28">
    <w:p w14:paraId="4407CBF3" w14:textId="2B7B17DB" w:rsidR="00D27B93" w:rsidRPr="00646B56" w:rsidRDefault="00D27B93">
      <w:pPr>
        <w:pStyle w:val="FootnoteText"/>
      </w:pPr>
      <w:r>
        <w:rPr>
          <w:rStyle w:val="FootnoteReference"/>
        </w:rPr>
        <w:footnoteRef/>
      </w:r>
      <w:r>
        <w:t xml:space="preserve"> </w:t>
      </w:r>
      <w:r>
        <w:rPr>
          <w:i/>
          <w:iCs/>
        </w:rPr>
        <w:t>Bank of Montreal v. Wilder</w:t>
      </w:r>
      <w:r>
        <w:t xml:space="preserve"> (1983), 149 D.L.R. (3d) 193 (B.C.C.A.) at 224-225, aff’d </w:t>
      </w:r>
      <w:r w:rsidRPr="00DB168D">
        <w:t>[1986] 2 S.C.R. 551</w:t>
      </w:r>
      <w:r>
        <w:t xml:space="preserve">. See also: </w:t>
      </w:r>
      <w:r>
        <w:rPr>
          <w:i/>
          <w:iCs/>
        </w:rPr>
        <w:t>Toronto Dominion Bank v. Griffiths</w:t>
      </w:r>
      <w:r>
        <w:t xml:space="preserve">, 1987 </w:t>
      </w:r>
      <w:proofErr w:type="spellStart"/>
      <w:r>
        <w:t>CarswellBC</w:t>
      </w:r>
      <w:proofErr w:type="spellEnd"/>
      <w:r>
        <w:t xml:space="preserve"> 289 (C.A.) at para. 46, and </w:t>
      </w:r>
      <w:proofErr w:type="spellStart"/>
      <w:r>
        <w:rPr>
          <w:i/>
          <w:iCs/>
        </w:rPr>
        <w:t>Palechek</w:t>
      </w:r>
      <w:proofErr w:type="spellEnd"/>
      <w:r>
        <w:rPr>
          <w:i/>
          <w:iCs/>
        </w:rPr>
        <w:t xml:space="preserve"> v. Canadian Imperial Bank of Commerce</w:t>
      </w:r>
      <w:r>
        <w:t xml:space="preserve">, 1991 ABCA 8 at paras. 8-10. </w:t>
      </w:r>
    </w:p>
  </w:footnote>
  <w:footnote w:id="29">
    <w:p w14:paraId="228C3026" w14:textId="64B34FE9" w:rsidR="00D27B93" w:rsidRPr="00EA7BAA" w:rsidRDefault="00D27B93">
      <w:pPr>
        <w:pStyle w:val="FootnoteText"/>
      </w:pPr>
      <w:r>
        <w:rPr>
          <w:rStyle w:val="FootnoteReference"/>
        </w:rPr>
        <w:footnoteRef/>
      </w:r>
      <w:r>
        <w:t xml:space="preserve"> </w:t>
      </w:r>
      <w:r>
        <w:rPr>
          <w:i/>
          <w:iCs/>
        </w:rPr>
        <w:t>0930043 B.C. Ltd. v. 3 Oaks Dairy Farms Ltd.</w:t>
      </w:r>
      <w:r>
        <w:t>, 2015 BCCA 332 at paras. 34 and 42.</w:t>
      </w:r>
    </w:p>
  </w:footnote>
  <w:footnote w:id="30">
    <w:p w14:paraId="6E8E3EEB" w14:textId="7B548A8B" w:rsidR="00D27B93" w:rsidRPr="00A8292E" w:rsidRDefault="00D27B93">
      <w:pPr>
        <w:pStyle w:val="FootnoteText"/>
      </w:pPr>
      <w:r>
        <w:rPr>
          <w:rStyle w:val="FootnoteReference"/>
        </w:rPr>
        <w:footnoteRef/>
      </w:r>
      <w:r>
        <w:t xml:space="preserve"> </w:t>
      </w:r>
      <w:r>
        <w:rPr>
          <w:i/>
          <w:iCs/>
        </w:rPr>
        <w:t>Sattva</w:t>
      </w:r>
      <w:r>
        <w:t xml:space="preserve"> at para. 60.</w:t>
      </w:r>
    </w:p>
  </w:footnote>
  <w:footnote w:id="31">
    <w:p w14:paraId="2A110955" w14:textId="705D6C82" w:rsidR="00D27B93" w:rsidRPr="000C27FC" w:rsidRDefault="00D27B93">
      <w:pPr>
        <w:pStyle w:val="FootnoteText"/>
        <w:rPr>
          <w:i/>
        </w:rPr>
      </w:pPr>
      <w:r>
        <w:rPr>
          <w:rStyle w:val="FootnoteReference"/>
        </w:rPr>
        <w:footnoteRef/>
      </w:r>
      <w:r>
        <w:t xml:space="preserve"> </w:t>
      </w:r>
      <w:proofErr w:type="spellStart"/>
      <w:r>
        <w:rPr>
          <w:i/>
          <w:iCs/>
        </w:rPr>
        <w:t>Stankovic</w:t>
      </w:r>
      <w:proofErr w:type="spellEnd"/>
      <w:r>
        <w:rPr>
          <w:i/>
          <w:iCs/>
        </w:rPr>
        <w:t xml:space="preserve"> v. 1536679 Alberta Ltd</w:t>
      </w:r>
      <w:r>
        <w:rPr>
          <w:i/>
        </w:rPr>
        <w:t>.</w:t>
      </w:r>
      <w:r w:rsidRPr="006B2353">
        <w:t>,</w:t>
      </w:r>
      <w:r>
        <w:rPr>
          <w:i/>
        </w:rPr>
        <w:t xml:space="preserve"> </w:t>
      </w:r>
      <w:r>
        <w:t xml:space="preserve">2019 ABCA 187 at paras. 8, 14 and 25-29. See also: </w:t>
      </w:r>
      <w:proofErr w:type="spellStart"/>
      <w:r w:rsidRPr="000E1F93">
        <w:rPr>
          <w:rFonts w:eastAsia="Times New Roman" w:cs="Arial"/>
          <w:i/>
          <w:iCs/>
          <w:color w:val="252525"/>
          <w:szCs w:val="22"/>
        </w:rPr>
        <w:t>Warraich</w:t>
      </w:r>
      <w:proofErr w:type="spellEnd"/>
      <w:r w:rsidRPr="000E1F93">
        <w:rPr>
          <w:rFonts w:eastAsia="Times New Roman" w:cs="Arial"/>
          <w:i/>
          <w:iCs/>
          <w:color w:val="252525"/>
          <w:szCs w:val="22"/>
        </w:rPr>
        <w:t xml:space="preserve"> v. Choudhry et al</w:t>
      </w:r>
      <w:r>
        <w:rPr>
          <w:rFonts w:eastAsia="Times New Roman" w:cs="Arial"/>
          <w:color w:val="252525"/>
          <w:szCs w:val="22"/>
        </w:rPr>
        <w:t>,</w:t>
      </w:r>
      <w:r w:rsidRPr="00CC168A">
        <w:rPr>
          <w:rFonts w:eastAsia="Times New Roman" w:cs="Arial"/>
          <w:color w:val="252525"/>
          <w:szCs w:val="22"/>
        </w:rPr>
        <w:t xml:space="preserve"> 2019 ONSC 2656 at paras. 122-126.</w:t>
      </w:r>
      <w:r w:rsidRPr="00CC168A">
        <w:rPr>
          <w:i/>
          <w:iCs/>
          <w:szCs w:val="22"/>
        </w:rPr>
        <w:t xml:space="preserve"> </w:t>
      </w:r>
    </w:p>
  </w:footnote>
  <w:footnote w:id="32">
    <w:p w14:paraId="21345A6D" w14:textId="0CD662B0" w:rsidR="00D27B93" w:rsidRPr="00F14113" w:rsidRDefault="00D27B93">
      <w:pPr>
        <w:pStyle w:val="FootnoteText"/>
      </w:pPr>
      <w:r>
        <w:rPr>
          <w:rStyle w:val="FootnoteReference"/>
        </w:rPr>
        <w:footnoteRef/>
      </w:r>
      <w:r>
        <w:t xml:space="preserve"> </w:t>
      </w:r>
      <w:r w:rsidRPr="00756759">
        <w:rPr>
          <w:i/>
          <w:lang w:val="en-US"/>
        </w:rPr>
        <w:t>Honey Bee (Hong Kong) Limited v</w:t>
      </w:r>
      <w:r>
        <w:rPr>
          <w:i/>
          <w:lang w:val="en-US"/>
        </w:rPr>
        <w:t>.</w:t>
      </w:r>
      <w:r w:rsidRPr="00756759">
        <w:rPr>
          <w:i/>
          <w:lang w:val="en-US"/>
        </w:rPr>
        <w:t xml:space="preserve"> </w:t>
      </w:r>
      <w:proofErr w:type="spellStart"/>
      <w:r w:rsidRPr="00756759">
        <w:rPr>
          <w:i/>
          <w:lang w:val="en-US"/>
        </w:rPr>
        <w:t>VitaSound</w:t>
      </w:r>
      <w:proofErr w:type="spellEnd"/>
      <w:r w:rsidRPr="00756759">
        <w:rPr>
          <w:i/>
          <w:lang w:val="en-US"/>
        </w:rPr>
        <w:t xml:space="preserve"> Audio Inc</w:t>
      </w:r>
      <w:r>
        <w:rPr>
          <w:i/>
          <w:lang w:val="en-US"/>
        </w:rPr>
        <w:t>.</w:t>
      </w:r>
      <w:r w:rsidRPr="00756759">
        <w:rPr>
          <w:lang w:val="en-US"/>
        </w:rPr>
        <w:t>, 2018 ONSC 5787 at paras</w:t>
      </w:r>
      <w:r>
        <w:rPr>
          <w:lang w:val="en-US"/>
        </w:rPr>
        <w:t>.</w:t>
      </w:r>
      <w:r w:rsidRPr="00756759">
        <w:rPr>
          <w:lang w:val="en-US"/>
        </w:rPr>
        <w:t xml:space="preserve"> 39-40 and 46, aff’d 2020 ONCA 629</w:t>
      </w:r>
      <w:r>
        <w:rPr>
          <w:lang w:val="en-US"/>
        </w:rPr>
        <w:t xml:space="preserve">; </w:t>
      </w:r>
      <w:r>
        <w:rPr>
          <w:i/>
          <w:iCs/>
          <w:lang w:val="en-US"/>
        </w:rPr>
        <w:t>Fung v. Decca Homes</w:t>
      </w:r>
      <w:r>
        <w:rPr>
          <w:lang w:val="en-US"/>
        </w:rPr>
        <w:t xml:space="preserve">, 2019 ONCA 848 at para 5. </w:t>
      </w:r>
    </w:p>
  </w:footnote>
  <w:footnote w:id="33">
    <w:p w14:paraId="30C94773" w14:textId="4F9D1555" w:rsidR="00D27B93" w:rsidRPr="006B2353" w:rsidRDefault="00D27B93" w:rsidP="00F25206">
      <w:pPr>
        <w:pStyle w:val="FootnoteText"/>
        <w:ind w:left="720" w:hanging="720"/>
        <w:rPr>
          <w:lang w:val="en-US"/>
        </w:rPr>
      </w:pPr>
      <w:r>
        <w:rPr>
          <w:rStyle w:val="FootnoteReference"/>
        </w:rPr>
        <w:footnoteRef/>
      </w:r>
      <w:r>
        <w:t xml:space="preserve"> </w:t>
      </w:r>
      <w:r>
        <w:rPr>
          <w:i/>
          <w:iCs/>
        </w:rPr>
        <w:t xml:space="preserve">P&amp;C </w:t>
      </w:r>
      <w:proofErr w:type="spellStart"/>
      <w:r>
        <w:rPr>
          <w:i/>
          <w:iCs/>
        </w:rPr>
        <w:t>Lawfirm</w:t>
      </w:r>
      <w:proofErr w:type="spellEnd"/>
      <w:r>
        <w:rPr>
          <w:i/>
          <w:iCs/>
        </w:rPr>
        <w:t xml:space="preserve"> Management Inc. v. </w:t>
      </w:r>
      <w:proofErr w:type="spellStart"/>
      <w:r>
        <w:rPr>
          <w:i/>
          <w:iCs/>
        </w:rPr>
        <w:t>Sabourin</w:t>
      </w:r>
      <w:proofErr w:type="spellEnd"/>
      <w:r>
        <w:rPr>
          <w:iCs/>
        </w:rPr>
        <w:t>, 2020 ABCA 449 at paras. 24-25 and 54-59.</w:t>
      </w:r>
    </w:p>
  </w:footnote>
  <w:footnote w:id="34">
    <w:p w14:paraId="478CFE60" w14:textId="513E0AC5" w:rsidR="00D27B93" w:rsidRPr="007C1DE6" w:rsidRDefault="00D27B93">
      <w:pPr>
        <w:pStyle w:val="FootnoteText"/>
        <w:rPr>
          <w:lang w:val="en-US"/>
        </w:rPr>
      </w:pPr>
      <w:r>
        <w:rPr>
          <w:rStyle w:val="FootnoteReference"/>
        </w:rPr>
        <w:footnoteRef/>
      </w:r>
      <w:r>
        <w:t xml:space="preserve"> </w:t>
      </w:r>
      <w:proofErr w:type="spellStart"/>
      <w:r w:rsidRPr="00756759">
        <w:rPr>
          <w:i/>
          <w:lang w:val="en-US"/>
        </w:rPr>
        <w:t>Shelanu</w:t>
      </w:r>
      <w:proofErr w:type="spellEnd"/>
      <w:r w:rsidRPr="00756759">
        <w:rPr>
          <w:i/>
          <w:lang w:val="en-US"/>
        </w:rPr>
        <w:t xml:space="preserve"> </w:t>
      </w:r>
      <w:r w:rsidRPr="00756759">
        <w:rPr>
          <w:lang w:val="en-US"/>
        </w:rPr>
        <w:t>at para</w:t>
      </w:r>
      <w:r>
        <w:rPr>
          <w:lang w:val="en-US"/>
        </w:rPr>
        <w:t>.</w:t>
      </w:r>
      <w:r w:rsidRPr="00756759">
        <w:rPr>
          <w:lang w:val="en-US"/>
        </w:rPr>
        <w:t xml:space="preserve"> 42</w:t>
      </w:r>
      <w:r>
        <w:rPr>
          <w:lang w:val="en-US"/>
        </w:rPr>
        <w:t>.</w:t>
      </w:r>
    </w:p>
  </w:footnote>
  <w:footnote w:id="35">
    <w:p w14:paraId="73A9C12A" w14:textId="2F7B024A" w:rsidR="00D27B93" w:rsidRPr="00DF73F5" w:rsidRDefault="00D27B93">
      <w:pPr>
        <w:pStyle w:val="FootnoteText"/>
        <w:rPr>
          <w:lang w:val="en-US"/>
        </w:rPr>
      </w:pPr>
      <w:r>
        <w:rPr>
          <w:rStyle w:val="FootnoteReference"/>
        </w:rPr>
        <w:footnoteRef/>
      </w:r>
      <w:r>
        <w:t xml:space="preserve"> </w:t>
      </w:r>
      <w:r>
        <w:rPr>
          <w:lang w:val="en-US"/>
        </w:rPr>
        <w:t xml:space="preserve"> </w:t>
      </w:r>
      <w:r>
        <w:rPr>
          <w:i/>
          <w:lang w:val="en-US"/>
        </w:rPr>
        <w:t>6646107 Canada v. The TDL</w:t>
      </w:r>
      <w:r>
        <w:rPr>
          <w:lang w:val="en-US"/>
        </w:rPr>
        <w:t>, 2019 ONSC 2240 at para. 18.</w:t>
      </w:r>
    </w:p>
  </w:footnote>
  <w:footnote w:id="36">
    <w:p w14:paraId="7C8D0449" w14:textId="77777777" w:rsidR="00D27B93" w:rsidRPr="00756759" w:rsidRDefault="00D27B93" w:rsidP="008D512F">
      <w:pPr>
        <w:pStyle w:val="FootnoteText"/>
        <w:rPr>
          <w:lang w:val="en-US"/>
        </w:rPr>
      </w:pPr>
      <w:r w:rsidRPr="00756759">
        <w:rPr>
          <w:rStyle w:val="FootnoteReference"/>
        </w:rPr>
        <w:footnoteRef/>
      </w:r>
      <w:r w:rsidRPr="00756759">
        <w:t xml:space="preserve"> </w:t>
      </w:r>
      <w:r w:rsidRPr="00756759">
        <w:rPr>
          <w:i/>
          <w:lang w:val="en-US"/>
        </w:rPr>
        <w:t>Toronto Dominion Bank v</w:t>
      </w:r>
      <w:r>
        <w:rPr>
          <w:i/>
          <w:lang w:val="en-US"/>
        </w:rPr>
        <w:t>.</w:t>
      </w:r>
      <w:r w:rsidRPr="00756759">
        <w:rPr>
          <w:i/>
          <w:lang w:val="en-US"/>
        </w:rPr>
        <w:t xml:space="preserve"> 1745361 Ontario Corp</w:t>
      </w:r>
      <w:r>
        <w:rPr>
          <w:i/>
          <w:lang w:val="en-US"/>
        </w:rPr>
        <w:t>.</w:t>
      </w:r>
      <w:r w:rsidRPr="00756759">
        <w:rPr>
          <w:lang w:val="en-US"/>
        </w:rPr>
        <w:t>, 2013 ONSC 4542 at paras</w:t>
      </w:r>
      <w:r>
        <w:rPr>
          <w:lang w:val="en-US"/>
        </w:rPr>
        <w:t>.</w:t>
      </w:r>
      <w:r w:rsidRPr="00756759">
        <w:rPr>
          <w:lang w:val="en-US"/>
        </w:rPr>
        <w:t xml:space="preserve"> 13-15; </w:t>
      </w:r>
      <w:r w:rsidRPr="00756759">
        <w:rPr>
          <w:i/>
          <w:lang w:val="en-US"/>
        </w:rPr>
        <w:t>Toronto Dominion Bank v</w:t>
      </w:r>
      <w:r>
        <w:rPr>
          <w:i/>
          <w:lang w:val="en-US"/>
        </w:rPr>
        <w:t xml:space="preserve">. </w:t>
      </w:r>
      <w:r w:rsidRPr="00756759">
        <w:rPr>
          <w:i/>
          <w:lang w:val="en-US"/>
        </w:rPr>
        <w:t>Turk</w:t>
      </w:r>
      <w:r w:rsidRPr="00756759">
        <w:rPr>
          <w:lang w:val="en-US"/>
        </w:rPr>
        <w:t xml:space="preserve">, 1992 </w:t>
      </w:r>
      <w:proofErr w:type="spellStart"/>
      <w:r w:rsidRPr="00756759">
        <w:rPr>
          <w:lang w:val="en-US"/>
        </w:rPr>
        <w:t>CarswellOnt</w:t>
      </w:r>
      <w:proofErr w:type="spellEnd"/>
      <w:r w:rsidRPr="00756759">
        <w:rPr>
          <w:lang w:val="en-US"/>
        </w:rPr>
        <w:t xml:space="preserve"> 3185 (Gen</w:t>
      </w:r>
      <w:r>
        <w:rPr>
          <w:lang w:val="en-US"/>
        </w:rPr>
        <w:t>.</w:t>
      </w:r>
      <w:r w:rsidRPr="00756759">
        <w:rPr>
          <w:lang w:val="en-US"/>
        </w:rPr>
        <w:t xml:space="preserve"> Div</w:t>
      </w:r>
      <w:r>
        <w:rPr>
          <w:lang w:val="en-US"/>
        </w:rPr>
        <w:t>.</w:t>
      </w:r>
      <w:r w:rsidRPr="00756759">
        <w:rPr>
          <w:lang w:val="en-US"/>
        </w:rPr>
        <w:t>) at para</w:t>
      </w:r>
      <w:r>
        <w:rPr>
          <w:lang w:val="en-US"/>
        </w:rPr>
        <w:t>.</w:t>
      </w:r>
      <w:r w:rsidRPr="00756759">
        <w:rPr>
          <w:lang w:val="en-US"/>
        </w:rPr>
        <w:t xml:space="preserve"> 5, aff’d 1994 </w:t>
      </w:r>
      <w:proofErr w:type="spellStart"/>
      <w:r w:rsidRPr="00756759">
        <w:rPr>
          <w:lang w:val="en-US"/>
        </w:rPr>
        <w:t>CarswellOnt</w:t>
      </w:r>
      <w:proofErr w:type="spellEnd"/>
      <w:r w:rsidRPr="00756759">
        <w:rPr>
          <w:lang w:val="en-US"/>
        </w:rPr>
        <w:t xml:space="preserve"> 2646 (C</w:t>
      </w:r>
      <w:r>
        <w:rPr>
          <w:lang w:val="en-US"/>
        </w:rPr>
        <w:t>.</w:t>
      </w:r>
      <w:r w:rsidRPr="00756759">
        <w:rPr>
          <w:lang w:val="en-US"/>
        </w:rPr>
        <w:t>A</w:t>
      </w:r>
      <w:r>
        <w:rPr>
          <w:lang w:val="en-US"/>
        </w:rPr>
        <w:t>.</w:t>
      </w:r>
      <w:r w:rsidRPr="00756759">
        <w:rPr>
          <w:lang w:val="en-US"/>
        </w:rPr>
        <w:t xml:space="preserve">); </w:t>
      </w:r>
      <w:r w:rsidRPr="00756759">
        <w:rPr>
          <w:i/>
          <w:lang w:val="en-US"/>
        </w:rPr>
        <w:t>Honey Bee (Hong Kong) Limited v</w:t>
      </w:r>
      <w:r>
        <w:rPr>
          <w:i/>
          <w:lang w:val="en-US"/>
        </w:rPr>
        <w:t>.</w:t>
      </w:r>
      <w:r w:rsidRPr="00756759">
        <w:rPr>
          <w:i/>
          <w:lang w:val="en-US"/>
        </w:rPr>
        <w:t xml:space="preserve"> </w:t>
      </w:r>
      <w:proofErr w:type="spellStart"/>
      <w:r w:rsidRPr="00756759">
        <w:rPr>
          <w:i/>
          <w:lang w:val="en-US"/>
        </w:rPr>
        <w:t>VitaSound</w:t>
      </w:r>
      <w:proofErr w:type="spellEnd"/>
      <w:r w:rsidRPr="00756759">
        <w:rPr>
          <w:i/>
          <w:lang w:val="en-US"/>
        </w:rPr>
        <w:t xml:space="preserve"> Audio Inc</w:t>
      </w:r>
      <w:r>
        <w:rPr>
          <w:i/>
          <w:lang w:val="en-US"/>
        </w:rPr>
        <w:t>.</w:t>
      </w:r>
      <w:r w:rsidRPr="00756759">
        <w:rPr>
          <w:lang w:val="en-US"/>
        </w:rPr>
        <w:t>, 2018 ONSC 5787 at paras</w:t>
      </w:r>
      <w:r>
        <w:rPr>
          <w:lang w:val="en-US"/>
        </w:rPr>
        <w:t>.</w:t>
      </w:r>
      <w:r w:rsidRPr="00756759">
        <w:rPr>
          <w:lang w:val="en-US"/>
        </w:rPr>
        <w:t xml:space="preserve"> 39-40 and 46, aff’d 2020 ONCA 629. </w:t>
      </w:r>
    </w:p>
  </w:footnote>
  <w:footnote w:id="37">
    <w:p w14:paraId="48EA5104" w14:textId="77777777" w:rsidR="00D27B93" w:rsidRPr="00756759" w:rsidRDefault="00D27B93" w:rsidP="008D512F">
      <w:pPr>
        <w:pStyle w:val="FootnoteText"/>
        <w:rPr>
          <w:lang w:val="en-US"/>
        </w:rPr>
      </w:pPr>
      <w:r w:rsidRPr="00756759">
        <w:rPr>
          <w:rStyle w:val="FootnoteReference"/>
        </w:rPr>
        <w:footnoteRef/>
      </w:r>
      <w:r w:rsidRPr="00756759">
        <w:t xml:space="preserve"> </w:t>
      </w:r>
      <w:r w:rsidRPr="00756759">
        <w:rPr>
          <w:i/>
          <w:lang w:val="en-US"/>
        </w:rPr>
        <w:t>Toronto Dominion Bank v</w:t>
      </w:r>
      <w:r>
        <w:rPr>
          <w:i/>
          <w:lang w:val="en-US"/>
        </w:rPr>
        <w:t>.</w:t>
      </w:r>
      <w:r w:rsidRPr="00756759">
        <w:rPr>
          <w:i/>
          <w:lang w:val="en-US"/>
        </w:rPr>
        <w:t xml:space="preserve"> Turk</w:t>
      </w:r>
      <w:r w:rsidRPr="00756759">
        <w:rPr>
          <w:lang w:val="en-US"/>
        </w:rPr>
        <w:t xml:space="preserve">, 1994 </w:t>
      </w:r>
      <w:proofErr w:type="spellStart"/>
      <w:r w:rsidRPr="00756759">
        <w:rPr>
          <w:lang w:val="en-US"/>
        </w:rPr>
        <w:t>CarswellOnt</w:t>
      </w:r>
      <w:proofErr w:type="spellEnd"/>
      <w:r w:rsidRPr="00756759">
        <w:rPr>
          <w:lang w:val="en-US"/>
        </w:rPr>
        <w:t xml:space="preserve"> 2646 (C</w:t>
      </w:r>
      <w:r>
        <w:rPr>
          <w:lang w:val="en-US"/>
        </w:rPr>
        <w:t>.</w:t>
      </w:r>
      <w:r w:rsidRPr="00756759">
        <w:rPr>
          <w:lang w:val="en-US"/>
        </w:rPr>
        <w:t>A</w:t>
      </w:r>
      <w:r>
        <w:rPr>
          <w:lang w:val="en-US"/>
        </w:rPr>
        <w:t>.</w:t>
      </w:r>
      <w:r w:rsidRPr="00756759">
        <w:rPr>
          <w:lang w:val="en-US"/>
        </w:rPr>
        <w:t xml:space="preserve">) at para 2. </w:t>
      </w:r>
    </w:p>
  </w:footnote>
  <w:footnote w:id="38">
    <w:p w14:paraId="3AC59BB6" w14:textId="625C56AD" w:rsidR="00D27B93" w:rsidRPr="00756759" w:rsidRDefault="00D27B93" w:rsidP="00526BD9">
      <w:pPr>
        <w:pStyle w:val="FootnoteText"/>
      </w:pPr>
      <w:r w:rsidRPr="00756759">
        <w:rPr>
          <w:rStyle w:val="FootnoteReference"/>
        </w:rPr>
        <w:footnoteRef/>
      </w:r>
      <w:r w:rsidRPr="00756759">
        <w:t xml:space="preserve"> </w:t>
      </w:r>
      <w:proofErr w:type="spellStart"/>
      <w:r w:rsidRPr="00756759">
        <w:rPr>
          <w:i/>
          <w:iCs/>
        </w:rPr>
        <w:t>Colautti</w:t>
      </w:r>
      <w:proofErr w:type="spellEnd"/>
      <w:r w:rsidRPr="00756759">
        <w:rPr>
          <w:i/>
          <w:iCs/>
        </w:rPr>
        <w:t xml:space="preserve"> Construction Ltd v</w:t>
      </w:r>
      <w:r>
        <w:rPr>
          <w:i/>
          <w:iCs/>
        </w:rPr>
        <w:t>.</w:t>
      </w:r>
      <w:r w:rsidRPr="00756759">
        <w:rPr>
          <w:i/>
          <w:iCs/>
        </w:rPr>
        <w:t xml:space="preserve"> Ottawa (City)</w:t>
      </w:r>
      <w:r w:rsidRPr="00756759">
        <w:t xml:space="preserve"> (1984), 46 O</w:t>
      </w:r>
      <w:r>
        <w:t>.</w:t>
      </w:r>
      <w:r w:rsidRPr="00756759">
        <w:t>R</w:t>
      </w:r>
      <w:r>
        <w:t>.</w:t>
      </w:r>
      <w:r w:rsidRPr="00756759">
        <w:t xml:space="preserve"> (2d</w:t>
      </w:r>
      <w:r>
        <w:t xml:space="preserve">) </w:t>
      </w:r>
      <w:r w:rsidRPr="00756759">
        <w:t xml:space="preserve">236, 1984 </w:t>
      </w:r>
      <w:proofErr w:type="spellStart"/>
      <w:r w:rsidRPr="00756759">
        <w:t>CarswellOnt</w:t>
      </w:r>
      <w:proofErr w:type="spellEnd"/>
      <w:r w:rsidRPr="00756759">
        <w:t xml:space="preserve"> 731 (C</w:t>
      </w:r>
      <w:r>
        <w:t>.</w:t>
      </w:r>
      <w:r w:rsidRPr="00756759">
        <w:t>A</w:t>
      </w:r>
      <w:r>
        <w:t>.</w:t>
      </w:r>
      <w:r w:rsidRPr="00756759">
        <w:t>) at paras</w:t>
      </w:r>
      <w:r>
        <w:t>.</w:t>
      </w:r>
      <w:r w:rsidRPr="00756759">
        <w:t xml:space="preserve"> 28-30</w:t>
      </w:r>
      <w:r>
        <w:t xml:space="preserve">; </w:t>
      </w:r>
      <w:r w:rsidRPr="00756759">
        <w:rPr>
          <w:i/>
          <w:iCs/>
        </w:rPr>
        <w:t>466369 Ontario Ltd v</w:t>
      </w:r>
      <w:r>
        <w:rPr>
          <w:i/>
          <w:iCs/>
        </w:rPr>
        <w:t>.</w:t>
      </w:r>
      <w:r w:rsidRPr="00756759">
        <w:rPr>
          <w:i/>
          <w:iCs/>
        </w:rPr>
        <w:t xml:space="preserve"> 2379078 Ontario</w:t>
      </w:r>
      <w:r w:rsidRPr="00756759">
        <w:rPr>
          <w:iCs/>
        </w:rPr>
        <w:t xml:space="preserve"> </w:t>
      </w:r>
      <w:r w:rsidRPr="00756759">
        <w:rPr>
          <w:i/>
          <w:iCs/>
        </w:rPr>
        <w:t>Inc</w:t>
      </w:r>
      <w:r w:rsidRPr="00756759">
        <w:rPr>
          <w:iCs/>
        </w:rPr>
        <w:t>, 2018 ONSC 5877 at paras</w:t>
      </w:r>
      <w:r>
        <w:rPr>
          <w:iCs/>
        </w:rPr>
        <w:t>.</w:t>
      </w:r>
      <w:r w:rsidRPr="00756759">
        <w:rPr>
          <w:iCs/>
        </w:rPr>
        <w:t xml:space="preserve"> 27-34</w:t>
      </w:r>
      <w:r>
        <w:rPr>
          <w:iCs/>
        </w:rPr>
        <w:t>.</w:t>
      </w:r>
    </w:p>
  </w:footnote>
  <w:footnote w:id="39">
    <w:p w14:paraId="202AB7A9" w14:textId="1902F367" w:rsidR="00D27B93" w:rsidRPr="00756759" w:rsidRDefault="00D27B93" w:rsidP="00526BD9">
      <w:pPr>
        <w:pStyle w:val="FootnoteText"/>
        <w:rPr>
          <w:lang w:val="en-US"/>
        </w:rPr>
      </w:pPr>
      <w:r w:rsidRPr="00756759">
        <w:rPr>
          <w:rStyle w:val="FootnoteReference"/>
        </w:rPr>
        <w:footnoteRef/>
      </w:r>
      <w:r w:rsidRPr="00756759">
        <w:t xml:space="preserve"> </w:t>
      </w:r>
      <w:proofErr w:type="spellStart"/>
      <w:r w:rsidRPr="00756759">
        <w:rPr>
          <w:i/>
          <w:iCs/>
        </w:rPr>
        <w:t>Craigdarloch</w:t>
      </w:r>
      <w:proofErr w:type="spellEnd"/>
      <w:r w:rsidRPr="00756759">
        <w:rPr>
          <w:i/>
          <w:iCs/>
        </w:rPr>
        <w:t xml:space="preserve"> Holdings Ltd</w:t>
      </w:r>
      <w:r>
        <w:rPr>
          <w:i/>
          <w:iCs/>
        </w:rPr>
        <w:t xml:space="preserve">. </w:t>
      </w:r>
      <w:r w:rsidRPr="00756759">
        <w:rPr>
          <w:i/>
          <w:iCs/>
        </w:rPr>
        <w:t xml:space="preserve">v </w:t>
      </w:r>
      <w:proofErr w:type="spellStart"/>
      <w:r w:rsidRPr="00756759">
        <w:rPr>
          <w:i/>
          <w:iCs/>
        </w:rPr>
        <w:t>Syscon</w:t>
      </w:r>
      <w:proofErr w:type="spellEnd"/>
      <w:r w:rsidRPr="00756759">
        <w:rPr>
          <w:i/>
          <w:iCs/>
        </w:rPr>
        <w:t xml:space="preserve"> Justice Systems Ltd</w:t>
      </w:r>
      <w:r>
        <w:rPr>
          <w:i/>
          <w:iCs/>
        </w:rPr>
        <w:t>.</w:t>
      </w:r>
      <w:r w:rsidRPr="00756759">
        <w:t>, 2010 BCSC 1186 at paras</w:t>
      </w:r>
      <w:r>
        <w:t>.</w:t>
      </w:r>
      <w:r w:rsidRPr="00756759">
        <w:t xml:space="preserve"> 129-13</w:t>
      </w:r>
      <w:r>
        <w:t>9</w:t>
      </w:r>
      <w:r w:rsidRPr="00756759">
        <w:t xml:space="preserve"> and 171.</w:t>
      </w:r>
    </w:p>
  </w:footnote>
  <w:footnote w:id="40">
    <w:p w14:paraId="21D48176" w14:textId="77777777" w:rsidR="00D27B93" w:rsidRPr="00756759" w:rsidRDefault="00D27B93" w:rsidP="00526BD9">
      <w:pPr>
        <w:pStyle w:val="FootnoteText"/>
      </w:pPr>
      <w:r w:rsidRPr="00756759">
        <w:rPr>
          <w:rStyle w:val="FootnoteReference"/>
        </w:rPr>
        <w:footnoteRef/>
      </w:r>
      <w:r w:rsidRPr="00756759">
        <w:t xml:space="preserve"> </w:t>
      </w:r>
      <w:proofErr w:type="spellStart"/>
      <w:r w:rsidRPr="00756759">
        <w:rPr>
          <w:i/>
          <w:iCs/>
        </w:rPr>
        <w:t>Craigdarloch</w:t>
      </w:r>
      <w:proofErr w:type="spellEnd"/>
      <w:r w:rsidRPr="00756759">
        <w:rPr>
          <w:i/>
          <w:iCs/>
        </w:rPr>
        <w:t xml:space="preserve"> Holdings Ltd v</w:t>
      </w:r>
      <w:r>
        <w:rPr>
          <w:i/>
          <w:iCs/>
        </w:rPr>
        <w:t>.</w:t>
      </w:r>
      <w:r w:rsidRPr="00756759">
        <w:rPr>
          <w:i/>
          <w:iCs/>
        </w:rPr>
        <w:t xml:space="preserve"> </w:t>
      </w:r>
      <w:proofErr w:type="spellStart"/>
      <w:r w:rsidRPr="00756759">
        <w:rPr>
          <w:i/>
          <w:iCs/>
        </w:rPr>
        <w:t>Syscon</w:t>
      </w:r>
      <w:proofErr w:type="spellEnd"/>
      <w:r w:rsidRPr="00756759">
        <w:rPr>
          <w:i/>
          <w:iCs/>
        </w:rPr>
        <w:t xml:space="preserve"> Justice Systems Ltd</w:t>
      </w:r>
      <w:r w:rsidRPr="00756759">
        <w:t>, 2010 BCSC 1186 at paras</w:t>
      </w:r>
      <w:r>
        <w:t>.</w:t>
      </w:r>
      <w:r w:rsidRPr="00756759">
        <w:t xml:space="preserve"> 130-134.</w:t>
      </w:r>
    </w:p>
  </w:footnote>
  <w:footnote w:id="41">
    <w:p w14:paraId="70774A64" w14:textId="21407762" w:rsidR="00D27B93" w:rsidRPr="00756759" w:rsidRDefault="00D27B93" w:rsidP="00526BD9">
      <w:pPr>
        <w:pStyle w:val="FootnoteText"/>
        <w:rPr>
          <w:i/>
          <w:lang w:val="en-US"/>
        </w:rPr>
      </w:pPr>
      <w:r w:rsidRPr="00756759">
        <w:rPr>
          <w:rStyle w:val="FootnoteReference"/>
        </w:rPr>
        <w:footnoteRef/>
      </w:r>
      <w:r w:rsidRPr="00756759">
        <w:t xml:space="preserve"> </w:t>
      </w:r>
      <w:r w:rsidRPr="00756759">
        <w:rPr>
          <w:i/>
        </w:rPr>
        <w:t>Canadian Premier Life Insurance v</w:t>
      </w:r>
      <w:r>
        <w:rPr>
          <w:i/>
        </w:rPr>
        <w:t>.</w:t>
      </w:r>
      <w:r w:rsidRPr="00756759">
        <w:rPr>
          <w:i/>
        </w:rPr>
        <w:t xml:space="preserve"> Sears Canada</w:t>
      </w:r>
      <w:r w:rsidRPr="00756759">
        <w:t>, 2010 ONSC 3834 at paras</w:t>
      </w:r>
      <w:r>
        <w:t>.</w:t>
      </w:r>
      <w:r w:rsidRPr="00756759">
        <w:t xml:space="preserve"> 86-87</w:t>
      </w:r>
      <w:r>
        <w:t>,</w:t>
      </w:r>
      <w:r w:rsidRPr="00756759">
        <w:t xml:space="preserve"> citing </w:t>
      </w:r>
      <w:proofErr w:type="spellStart"/>
      <w:r>
        <w:rPr>
          <w:i/>
        </w:rPr>
        <w:t>Te</w:t>
      </w:r>
      <w:r w:rsidRPr="00756759">
        <w:rPr>
          <w:i/>
        </w:rPr>
        <w:t>rcon</w:t>
      </w:r>
      <w:proofErr w:type="spellEnd"/>
      <w:r w:rsidRPr="00756759">
        <w:rPr>
          <w:i/>
        </w:rPr>
        <w:t xml:space="preserve"> Contractors Ltd. v. British Columbia (Minister of Transportation &amp; Highways)</w:t>
      </w:r>
      <w:r w:rsidRPr="00756759">
        <w:t xml:space="preserve">, 2010 SCC 4 </w:t>
      </w:r>
      <w:r>
        <w:t>[“</w:t>
      </w:r>
      <w:proofErr w:type="spellStart"/>
      <w:r>
        <w:rPr>
          <w:b/>
          <w:i/>
        </w:rPr>
        <w:t>Tercon</w:t>
      </w:r>
      <w:proofErr w:type="spellEnd"/>
      <w:r w:rsidRPr="000E7609">
        <w:t>”]</w:t>
      </w:r>
      <w:r>
        <w:rPr>
          <w:b/>
        </w:rPr>
        <w:t xml:space="preserve"> </w:t>
      </w:r>
      <w:r w:rsidRPr="00756759">
        <w:t>at para</w:t>
      </w:r>
      <w:r>
        <w:t>.</w:t>
      </w:r>
      <w:r w:rsidRPr="00756759">
        <w:t xml:space="preserve"> 120.</w:t>
      </w:r>
    </w:p>
  </w:footnote>
  <w:footnote w:id="42">
    <w:p w14:paraId="2B6DE191" w14:textId="77777777" w:rsidR="00D27B93" w:rsidRPr="00756759" w:rsidRDefault="00D27B93" w:rsidP="00526BD9">
      <w:pPr>
        <w:pStyle w:val="FootnoteText"/>
        <w:rPr>
          <w:lang w:val="en-US"/>
        </w:rPr>
      </w:pPr>
      <w:r w:rsidRPr="00756759">
        <w:rPr>
          <w:rStyle w:val="FootnoteReference"/>
        </w:rPr>
        <w:footnoteRef/>
      </w:r>
      <w:r w:rsidRPr="00756759">
        <w:t xml:space="preserve"> </w:t>
      </w:r>
      <w:r w:rsidRPr="00756759">
        <w:rPr>
          <w:i/>
          <w:iCs/>
        </w:rPr>
        <w:t>466369 Ontario Ltd v</w:t>
      </w:r>
      <w:r>
        <w:rPr>
          <w:i/>
          <w:iCs/>
        </w:rPr>
        <w:t>.</w:t>
      </w:r>
      <w:r w:rsidRPr="00756759">
        <w:rPr>
          <w:i/>
          <w:iCs/>
        </w:rPr>
        <w:t xml:space="preserve"> 2379078 Ontario</w:t>
      </w:r>
      <w:r w:rsidRPr="00756759">
        <w:rPr>
          <w:iCs/>
        </w:rPr>
        <w:t xml:space="preserve"> </w:t>
      </w:r>
      <w:r w:rsidRPr="00756759">
        <w:rPr>
          <w:i/>
          <w:iCs/>
        </w:rPr>
        <w:t>Inc</w:t>
      </w:r>
      <w:r w:rsidRPr="00756759">
        <w:rPr>
          <w:iCs/>
        </w:rPr>
        <w:t>, 2018 ONSC 5877 at paras</w:t>
      </w:r>
      <w:r>
        <w:rPr>
          <w:iCs/>
        </w:rPr>
        <w:t>.</w:t>
      </w:r>
      <w:r w:rsidRPr="00756759">
        <w:rPr>
          <w:iCs/>
        </w:rPr>
        <w:t xml:space="preserve"> 27-34.</w:t>
      </w:r>
    </w:p>
  </w:footnote>
  <w:footnote w:id="43">
    <w:p w14:paraId="1AA296E4" w14:textId="4130B096" w:rsidR="00D27B93" w:rsidRPr="00756759" w:rsidRDefault="00D27B93" w:rsidP="005A4A33">
      <w:pPr>
        <w:pStyle w:val="FootnoteText"/>
        <w:rPr>
          <w:lang w:val="en-US"/>
        </w:rPr>
      </w:pPr>
      <w:r w:rsidRPr="00756759">
        <w:rPr>
          <w:rStyle w:val="FootnoteReference"/>
        </w:rPr>
        <w:footnoteRef/>
      </w:r>
      <w:r w:rsidRPr="00756759">
        <w:t xml:space="preserve"> </w:t>
      </w:r>
      <w:r w:rsidRPr="00756759">
        <w:rPr>
          <w:i/>
          <w:lang w:val="en-US"/>
        </w:rPr>
        <w:t>Archibald v</w:t>
      </w:r>
      <w:r>
        <w:rPr>
          <w:i/>
          <w:lang w:val="en-US"/>
        </w:rPr>
        <w:t>.</w:t>
      </w:r>
      <w:r w:rsidRPr="00756759">
        <w:rPr>
          <w:i/>
          <w:lang w:val="en-US"/>
        </w:rPr>
        <w:t xml:space="preserve"> Action Management Services</w:t>
      </w:r>
      <w:r w:rsidRPr="00756759">
        <w:rPr>
          <w:lang w:val="en-US"/>
        </w:rPr>
        <w:t>, 2015 NSCA 103 at paras</w:t>
      </w:r>
      <w:r>
        <w:rPr>
          <w:lang w:val="en-US"/>
        </w:rPr>
        <w:t>.</w:t>
      </w:r>
      <w:r w:rsidRPr="00756759">
        <w:rPr>
          <w:lang w:val="en-US"/>
        </w:rPr>
        <w:t xml:space="preserve"> 27</w:t>
      </w:r>
      <w:r>
        <w:rPr>
          <w:lang w:val="en-US"/>
        </w:rPr>
        <w:t>-</w:t>
      </w:r>
      <w:r w:rsidRPr="00756759">
        <w:rPr>
          <w:lang w:val="en-US"/>
        </w:rPr>
        <w:t xml:space="preserve">29. </w:t>
      </w:r>
    </w:p>
  </w:footnote>
  <w:footnote w:id="44">
    <w:p w14:paraId="538C2220" w14:textId="77777777" w:rsidR="00D27B93" w:rsidRPr="00756759" w:rsidRDefault="00D27B93" w:rsidP="005D0B7A">
      <w:pPr>
        <w:pStyle w:val="FootnoteText"/>
      </w:pPr>
      <w:r w:rsidRPr="00756759">
        <w:rPr>
          <w:rStyle w:val="FootnoteReference"/>
        </w:rPr>
        <w:footnoteRef/>
      </w:r>
      <w:r w:rsidRPr="00756759">
        <w:t xml:space="preserve"> </w:t>
      </w:r>
      <w:r w:rsidRPr="00756759">
        <w:rPr>
          <w:i/>
          <w:iCs/>
        </w:rPr>
        <w:t>Gainers Inc v</w:t>
      </w:r>
      <w:r>
        <w:rPr>
          <w:i/>
          <w:iCs/>
        </w:rPr>
        <w:t>.</w:t>
      </w:r>
      <w:r w:rsidRPr="00756759">
        <w:rPr>
          <w:i/>
          <w:iCs/>
        </w:rPr>
        <w:t xml:space="preserve"> Pocklington Holdings Inc</w:t>
      </w:r>
      <w:r w:rsidRPr="00756759">
        <w:t>, 2000 ABCA 151 at paras</w:t>
      </w:r>
      <w:r>
        <w:t>.</w:t>
      </w:r>
      <w:r w:rsidRPr="00756759">
        <w:t xml:space="preserve"> 11-17. </w:t>
      </w:r>
    </w:p>
  </w:footnote>
  <w:footnote w:id="45">
    <w:p w14:paraId="42060D2D" w14:textId="03F336FF" w:rsidR="00D27B93" w:rsidRPr="00756759" w:rsidRDefault="00D27B93" w:rsidP="005D0B7A">
      <w:pPr>
        <w:pStyle w:val="FootnoteText"/>
        <w:rPr>
          <w:lang w:val="en-US"/>
        </w:rPr>
      </w:pPr>
      <w:r w:rsidRPr="00756759">
        <w:rPr>
          <w:rStyle w:val="FootnoteReference"/>
        </w:rPr>
        <w:footnoteRef/>
      </w:r>
      <w:r w:rsidRPr="00756759">
        <w:t xml:space="preserve"> </w:t>
      </w:r>
      <w:r w:rsidRPr="00756759">
        <w:rPr>
          <w:i/>
        </w:rPr>
        <w:t>West Edmonton Mall Ltd v</w:t>
      </w:r>
      <w:r>
        <w:rPr>
          <w:i/>
        </w:rPr>
        <w:t>.</w:t>
      </w:r>
      <w:r w:rsidRPr="00756759">
        <w:rPr>
          <w:i/>
        </w:rPr>
        <w:t xml:space="preserve"> Clock Gallery Ltd</w:t>
      </w:r>
      <w:r w:rsidRPr="00756759">
        <w:t>, 199</w:t>
      </w:r>
      <w:r>
        <w:t>3</w:t>
      </w:r>
      <w:r w:rsidRPr="00756759">
        <w:t xml:space="preserve"> </w:t>
      </w:r>
      <w:proofErr w:type="spellStart"/>
      <w:r w:rsidRPr="00756759">
        <w:t>CarswellAlta</w:t>
      </w:r>
      <w:proofErr w:type="spellEnd"/>
      <w:r w:rsidRPr="00756759">
        <w:t xml:space="preserve"> 266 (Master) at paras</w:t>
      </w:r>
      <w:r>
        <w:t>.</w:t>
      </w:r>
      <w:r w:rsidRPr="00756759">
        <w:t xml:space="preserve"> 22-30. </w:t>
      </w:r>
    </w:p>
  </w:footnote>
  <w:footnote w:id="46">
    <w:p w14:paraId="7D34523B" w14:textId="24919993" w:rsidR="00D27B93" w:rsidRPr="00756759" w:rsidRDefault="00D27B93" w:rsidP="005D0B7A">
      <w:pPr>
        <w:pStyle w:val="FootnoteText"/>
        <w:rPr>
          <w:lang w:val="en-US"/>
        </w:rPr>
      </w:pPr>
      <w:r w:rsidRPr="00756759">
        <w:rPr>
          <w:rStyle w:val="FootnoteReference"/>
        </w:rPr>
        <w:footnoteRef/>
      </w:r>
      <w:r w:rsidRPr="00756759">
        <w:t xml:space="preserve"> </w:t>
      </w:r>
      <w:r w:rsidRPr="00756759">
        <w:rPr>
          <w:i/>
        </w:rPr>
        <w:t>West Edmonton Mall Ltd v</w:t>
      </w:r>
      <w:r>
        <w:rPr>
          <w:i/>
        </w:rPr>
        <w:t>.</w:t>
      </w:r>
      <w:r w:rsidRPr="00756759">
        <w:rPr>
          <w:i/>
        </w:rPr>
        <w:t xml:space="preserve"> Clock Gallery Ltd</w:t>
      </w:r>
      <w:r w:rsidRPr="00756759">
        <w:t>, 199</w:t>
      </w:r>
      <w:r>
        <w:t>3</w:t>
      </w:r>
      <w:r w:rsidRPr="00756759">
        <w:t xml:space="preserve"> </w:t>
      </w:r>
      <w:proofErr w:type="spellStart"/>
      <w:r w:rsidRPr="00756759">
        <w:t>CarswellAlta</w:t>
      </w:r>
      <w:proofErr w:type="spellEnd"/>
      <w:r w:rsidRPr="00756759">
        <w:t xml:space="preserve"> 266 (Master) at paras</w:t>
      </w:r>
      <w:r>
        <w:t>.</w:t>
      </w:r>
      <w:r w:rsidRPr="00756759">
        <w:t xml:space="preserve"> 16-19.</w:t>
      </w:r>
    </w:p>
  </w:footnote>
  <w:footnote w:id="47">
    <w:p w14:paraId="5B43AE4C" w14:textId="40543FC7" w:rsidR="00D27B93" w:rsidRPr="00756759" w:rsidRDefault="00D27B93" w:rsidP="005D0B7A">
      <w:pPr>
        <w:pStyle w:val="FootnoteText"/>
        <w:rPr>
          <w:lang w:val="en-US"/>
        </w:rPr>
      </w:pPr>
      <w:r w:rsidRPr="00756759">
        <w:rPr>
          <w:rStyle w:val="FootnoteReference"/>
        </w:rPr>
        <w:footnoteRef/>
      </w:r>
      <w:r w:rsidRPr="00756759">
        <w:t xml:space="preserve"> </w:t>
      </w:r>
      <w:r w:rsidRPr="00756759">
        <w:rPr>
          <w:i/>
        </w:rPr>
        <w:t>Becker v</w:t>
      </w:r>
      <w:r>
        <w:rPr>
          <w:i/>
        </w:rPr>
        <w:t>.</w:t>
      </w:r>
      <w:r w:rsidRPr="00756759">
        <w:rPr>
          <w:i/>
        </w:rPr>
        <w:t xml:space="preserve"> Jane Doe No</w:t>
      </w:r>
      <w:r>
        <w:rPr>
          <w:i/>
        </w:rPr>
        <w:t>.</w:t>
      </w:r>
      <w:r w:rsidRPr="00756759">
        <w:rPr>
          <w:i/>
        </w:rPr>
        <w:t xml:space="preserve"> 1</w:t>
      </w:r>
      <w:r w:rsidRPr="00756759">
        <w:t xml:space="preserve">, 2015 ABQB 144 </w:t>
      </w:r>
      <w:r>
        <w:t xml:space="preserve">(Master) </w:t>
      </w:r>
      <w:r w:rsidRPr="00756759">
        <w:t>at paras</w:t>
      </w:r>
      <w:r>
        <w:t>.</w:t>
      </w:r>
      <w:r w:rsidRPr="00756759">
        <w:t xml:space="preserve"> 33-36.</w:t>
      </w:r>
    </w:p>
  </w:footnote>
  <w:footnote w:id="48">
    <w:p w14:paraId="4E828608" w14:textId="5F5EE0EB" w:rsidR="00D27B93" w:rsidRPr="00756759" w:rsidRDefault="00D27B93" w:rsidP="005D0B7A">
      <w:pPr>
        <w:pStyle w:val="FootnoteText"/>
        <w:rPr>
          <w:b/>
          <w:lang w:val="en-US"/>
        </w:rPr>
      </w:pPr>
      <w:r w:rsidRPr="00756759">
        <w:rPr>
          <w:rStyle w:val="FootnoteReference"/>
        </w:rPr>
        <w:footnoteRef/>
      </w:r>
      <w:r w:rsidRPr="00756759">
        <w:t xml:space="preserve"> </w:t>
      </w:r>
      <w:r w:rsidRPr="00756759">
        <w:rPr>
          <w:i/>
        </w:rPr>
        <w:t>Becker v</w:t>
      </w:r>
      <w:r>
        <w:rPr>
          <w:i/>
        </w:rPr>
        <w:t>.</w:t>
      </w:r>
      <w:r w:rsidRPr="00756759">
        <w:rPr>
          <w:i/>
        </w:rPr>
        <w:t xml:space="preserve"> Jane Doe No</w:t>
      </w:r>
      <w:r>
        <w:rPr>
          <w:i/>
        </w:rPr>
        <w:t>.</w:t>
      </w:r>
      <w:r w:rsidRPr="00756759">
        <w:rPr>
          <w:i/>
        </w:rPr>
        <w:t xml:space="preserve"> 1</w:t>
      </w:r>
      <w:r w:rsidRPr="00756759">
        <w:t>, 2015 ABQB 144</w:t>
      </w:r>
      <w:r>
        <w:t xml:space="preserve"> (Master)</w:t>
      </w:r>
      <w:r w:rsidRPr="00756759">
        <w:t xml:space="preserve"> at paras</w:t>
      </w:r>
      <w:r>
        <w:t>.</w:t>
      </w:r>
      <w:r w:rsidRPr="00756759">
        <w:t xml:space="preserve"> 39-40, citing </w:t>
      </w:r>
      <w:proofErr w:type="spellStart"/>
      <w:r>
        <w:rPr>
          <w:i/>
        </w:rPr>
        <w:t>Tercon</w:t>
      </w:r>
      <w:proofErr w:type="spellEnd"/>
      <w:r w:rsidRPr="00756759">
        <w:t xml:space="preserve"> at para</w:t>
      </w:r>
      <w:r>
        <w:t>.</w:t>
      </w:r>
      <w:r w:rsidRPr="00756759">
        <w:t xml:space="preserve"> 123.</w:t>
      </w:r>
    </w:p>
  </w:footnote>
  <w:footnote w:id="49">
    <w:p w14:paraId="14627524" w14:textId="6D88B4A6" w:rsidR="00D27B93" w:rsidRPr="00756759" w:rsidRDefault="00D27B93" w:rsidP="008D512F">
      <w:pPr>
        <w:pStyle w:val="FootnoteText"/>
        <w:rPr>
          <w:lang w:val="en-US"/>
        </w:rPr>
      </w:pPr>
      <w:r w:rsidRPr="00756759">
        <w:rPr>
          <w:rStyle w:val="FootnoteReference"/>
        </w:rPr>
        <w:footnoteRef/>
      </w:r>
      <w:r w:rsidRPr="00756759">
        <w:t xml:space="preserve"> </w:t>
      </w:r>
      <w:r w:rsidRPr="00756759">
        <w:rPr>
          <w:i/>
          <w:iCs/>
        </w:rPr>
        <w:t>Gainers Inc v</w:t>
      </w:r>
      <w:r>
        <w:rPr>
          <w:i/>
          <w:iCs/>
        </w:rPr>
        <w:t>.</w:t>
      </w:r>
      <w:r w:rsidRPr="00756759">
        <w:rPr>
          <w:i/>
          <w:iCs/>
        </w:rPr>
        <w:t xml:space="preserve"> Pocklington Holdings Inc</w:t>
      </w:r>
      <w:r w:rsidRPr="00756759">
        <w:t>, 2000 ABCA 151 at paras</w:t>
      </w:r>
      <w:r>
        <w:t>.</w:t>
      </w:r>
      <w:r w:rsidRPr="00756759">
        <w:t xml:space="preserve"> 25-30; </w:t>
      </w:r>
      <w:r w:rsidRPr="00756759">
        <w:rPr>
          <w:i/>
        </w:rPr>
        <w:t>West Edmonton Mall Ltd v</w:t>
      </w:r>
      <w:r>
        <w:rPr>
          <w:i/>
        </w:rPr>
        <w:t>.</w:t>
      </w:r>
      <w:r w:rsidRPr="00756759">
        <w:rPr>
          <w:i/>
        </w:rPr>
        <w:t xml:space="preserve"> Clock Gallery Ltd</w:t>
      </w:r>
      <w:r>
        <w:rPr>
          <w:i/>
        </w:rPr>
        <w:t>.</w:t>
      </w:r>
      <w:r w:rsidRPr="00756759">
        <w:t>, 199</w:t>
      </w:r>
      <w:r>
        <w:t>3</w:t>
      </w:r>
      <w:r w:rsidRPr="00756759">
        <w:t xml:space="preserve"> </w:t>
      </w:r>
      <w:proofErr w:type="spellStart"/>
      <w:r w:rsidRPr="00756759">
        <w:t>CarswellAlta</w:t>
      </w:r>
      <w:proofErr w:type="spellEnd"/>
      <w:r w:rsidRPr="00756759">
        <w:t xml:space="preserve"> 266 (Master) at paras</w:t>
      </w:r>
      <w:r>
        <w:t>.</w:t>
      </w:r>
      <w:r w:rsidRPr="00756759">
        <w:t xml:space="preserve"> 20-21; </w:t>
      </w:r>
      <w:r w:rsidRPr="00756759">
        <w:rPr>
          <w:i/>
        </w:rPr>
        <w:t>Becker v</w:t>
      </w:r>
      <w:r>
        <w:rPr>
          <w:i/>
        </w:rPr>
        <w:t>.</w:t>
      </w:r>
      <w:r w:rsidRPr="00756759">
        <w:rPr>
          <w:i/>
        </w:rPr>
        <w:t xml:space="preserve"> Jane Doe No</w:t>
      </w:r>
      <w:r>
        <w:rPr>
          <w:i/>
        </w:rPr>
        <w:t>.</w:t>
      </w:r>
      <w:r w:rsidRPr="00756759">
        <w:rPr>
          <w:i/>
        </w:rPr>
        <w:t xml:space="preserve"> 1</w:t>
      </w:r>
      <w:r w:rsidRPr="00756759">
        <w:t xml:space="preserve">, 2015 ABQB 144 </w:t>
      </w:r>
      <w:r w:rsidR="00C56DA0">
        <w:t xml:space="preserve">(Master) </w:t>
      </w:r>
      <w:r w:rsidRPr="00756759">
        <w:t>at paras</w:t>
      </w:r>
      <w:r>
        <w:t>.</w:t>
      </w:r>
      <w:r w:rsidRPr="00756759">
        <w:t xml:space="preserve"> 26-28 and 32.</w:t>
      </w:r>
    </w:p>
  </w:footnote>
  <w:footnote w:id="50">
    <w:p w14:paraId="5C63C7C0" w14:textId="7A4F352A" w:rsidR="00D27B93" w:rsidRPr="00756759" w:rsidRDefault="00D27B93" w:rsidP="00526BD9">
      <w:pPr>
        <w:pStyle w:val="FootnoteText"/>
        <w:rPr>
          <w:lang w:val="en-US"/>
        </w:rPr>
      </w:pPr>
      <w:r w:rsidRPr="00756759">
        <w:rPr>
          <w:rStyle w:val="FootnoteReference"/>
        </w:rPr>
        <w:footnoteRef/>
      </w:r>
      <w:r w:rsidRPr="00756759">
        <w:t xml:space="preserve"> </w:t>
      </w:r>
      <w:proofErr w:type="spellStart"/>
      <w:r w:rsidRPr="00756759">
        <w:rPr>
          <w:i/>
        </w:rPr>
        <w:t>Ruetz</w:t>
      </w:r>
      <w:proofErr w:type="spellEnd"/>
      <w:r w:rsidRPr="00756759">
        <w:rPr>
          <w:i/>
        </w:rPr>
        <w:t xml:space="preserve"> v</w:t>
      </w:r>
      <w:r>
        <w:rPr>
          <w:i/>
        </w:rPr>
        <w:t>.</w:t>
      </w:r>
      <w:r w:rsidRPr="00756759">
        <w:rPr>
          <w:i/>
        </w:rPr>
        <w:t xml:space="preserve"> Metro Canada Inc</w:t>
      </w:r>
      <w:r>
        <w:rPr>
          <w:i/>
        </w:rPr>
        <w:t>.</w:t>
      </w:r>
      <w:r w:rsidRPr="00756759">
        <w:rPr>
          <w:i/>
        </w:rPr>
        <w:t>et al</w:t>
      </w:r>
      <w:r>
        <w:rPr>
          <w:i/>
        </w:rPr>
        <w:t>.</w:t>
      </w:r>
      <w:r w:rsidRPr="00756759">
        <w:t>, 2021 ONSC 20 at paras</w:t>
      </w:r>
      <w:r>
        <w:t>.</w:t>
      </w:r>
      <w:r w:rsidRPr="00756759">
        <w:t xml:space="preserve"> 56-59, 63-64 and 69. The court also rejected an estoppel argument due to a lack of detrimental reliance (paras</w:t>
      </w:r>
      <w:r>
        <w:t>.</w:t>
      </w:r>
      <w:r w:rsidRPr="00756759">
        <w:t xml:space="preserve"> 79-81).</w:t>
      </w:r>
    </w:p>
  </w:footnote>
  <w:footnote w:id="51">
    <w:p w14:paraId="1CCBDFC5" w14:textId="77777777" w:rsidR="00D27B93" w:rsidRPr="00756759" w:rsidRDefault="00D27B93" w:rsidP="00357576">
      <w:pPr>
        <w:pStyle w:val="FootnoteText"/>
        <w:rPr>
          <w:lang w:val="en-US"/>
        </w:rPr>
      </w:pPr>
      <w:r w:rsidRPr="00756759">
        <w:rPr>
          <w:rStyle w:val="FootnoteReference"/>
        </w:rPr>
        <w:footnoteRef/>
      </w:r>
      <w:r w:rsidRPr="00756759">
        <w:rPr>
          <w:lang w:val="en-US"/>
        </w:rPr>
        <w:t xml:space="preserve">George P. Costigan, Jr. “The Date and Authorship of the Statute of Frauds, 26(4) Harvard Law Review (1913) 329-346 at 329-330. </w:t>
      </w:r>
    </w:p>
  </w:footnote>
  <w:footnote w:id="52">
    <w:p w14:paraId="545453A5" w14:textId="77777777" w:rsidR="00D27B93" w:rsidRPr="00756759" w:rsidRDefault="00D27B93" w:rsidP="00B76458">
      <w:pPr>
        <w:pStyle w:val="FootnoteText"/>
        <w:rPr>
          <w:lang w:val="en-US"/>
        </w:rPr>
      </w:pPr>
      <w:r w:rsidRPr="00756759">
        <w:rPr>
          <w:rStyle w:val="FootnoteReference"/>
        </w:rPr>
        <w:footnoteRef/>
      </w:r>
      <w:r w:rsidRPr="00756759">
        <w:t xml:space="preserve"> </w:t>
      </w:r>
      <w:r w:rsidRPr="00756759">
        <w:rPr>
          <w:i/>
        </w:rPr>
        <w:t>Erie Sand and Gravel Limited v</w:t>
      </w:r>
      <w:r>
        <w:rPr>
          <w:i/>
        </w:rPr>
        <w:t>.</w:t>
      </w:r>
      <w:r w:rsidRPr="00756759">
        <w:rPr>
          <w:i/>
        </w:rPr>
        <w:t xml:space="preserve"> Tri-B Acres Inc</w:t>
      </w:r>
      <w:r>
        <w:rPr>
          <w:i/>
        </w:rPr>
        <w:t>.</w:t>
      </w:r>
      <w:r w:rsidRPr="00756759">
        <w:t>, 2009 ONCA 709 [“</w:t>
      </w:r>
      <w:r w:rsidRPr="00756759">
        <w:rPr>
          <w:b/>
          <w:i/>
        </w:rPr>
        <w:t>Erie Sand</w:t>
      </w:r>
      <w:r w:rsidRPr="00756759">
        <w:t>”] at para</w:t>
      </w:r>
      <w:r>
        <w:t>.</w:t>
      </w:r>
      <w:r w:rsidRPr="00756759">
        <w:t xml:space="preserve"> 49.</w:t>
      </w:r>
    </w:p>
  </w:footnote>
  <w:footnote w:id="53">
    <w:p w14:paraId="4219BAEE" w14:textId="4BB78B69" w:rsidR="00D27B93" w:rsidRPr="00D141C8" w:rsidRDefault="00D27B93" w:rsidP="00116544">
      <w:pPr>
        <w:pStyle w:val="FootnoteText"/>
        <w:divId w:val="1865366638"/>
      </w:pPr>
      <w:r w:rsidRPr="00756759">
        <w:rPr>
          <w:rStyle w:val="FootnoteReference"/>
        </w:rPr>
        <w:footnoteRef/>
      </w:r>
      <w:r w:rsidRPr="00756759">
        <w:t xml:space="preserve"> See for example, </w:t>
      </w:r>
      <w:r w:rsidRPr="00756759">
        <w:rPr>
          <w:i/>
        </w:rPr>
        <w:t>Statute of Frauds</w:t>
      </w:r>
      <w:r w:rsidRPr="00756759">
        <w:t>, R</w:t>
      </w:r>
      <w:r>
        <w:t>.</w:t>
      </w:r>
      <w:r w:rsidRPr="00756759">
        <w:t>S</w:t>
      </w:r>
      <w:r>
        <w:t>.</w:t>
      </w:r>
      <w:r w:rsidRPr="00756759">
        <w:t>O</w:t>
      </w:r>
      <w:r>
        <w:t>.</w:t>
      </w:r>
      <w:r w:rsidRPr="00756759">
        <w:t xml:space="preserve"> 1990, c</w:t>
      </w:r>
      <w:r>
        <w:t>.</w:t>
      </w:r>
      <w:r w:rsidRPr="00756759">
        <w:t xml:space="preserve"> S.19, </w:t>
      </w:r>
      <w:r>
        <w:t>s.</w:t>
      </w:r>
      <w:r w:rsidRPr="00756759">
        <w:t xml:space="preserve"> 4.</w:t>
      </w:r>
      <w:r>
        <w:t xml:space="preserve"> The statute is used in its original form (</w:t>
      </w:r>
      <w:r w:rsidRPr="009F1AB3">
        <w:rPr>
          <w:rFonts w:eastAsia="Times New Roman" w:cs="Arial"/>
          <w:color w:val="212121"/>
          <w:sz w:val="21"/>
          <w:szCs w:val="21"/>
        </w:rPr>
        <w:t>1677 (</w:t>
      </w:r>
      <w:r>
        <w:rPr>
          <w:rFonts w:eastAsia="Times New Roman" w:cs="Arial"/>
          <w:color w:val="212121"/>
          <w:sz w:val="21"/>
          <w:szCs w:val="21"/>
        </w:rPr>
        <w:t>U.K.</w:t>
      </w:r>
      <w:r w:rsidRPr="009F1AB3">
        <w:rPr>
          <w:rFonts w:eastAsia="Times New Roman" w:cs="Arial"/>
          <w:color w:val="212121"/>
          <w:sz w:val="21"/>
          <w:szCs w:val="21"/>
        </w:rPr>
        <w:t>), 29 Car</w:t>
      </w:r>
      <w:r>
        <w:rPr>
          <w:rFonts w:eastAsia="Times New Roman" w:cs="Arial"/>
          <w:color w:val="212121"/>
          <w:sz w:val="21"/>
          <w:szCs w:val="21"/>
        </w:rPr>
        <w:t>.</w:t>
      </w:r>
      <w:r w:rsidRPr="009F1AB3">
        <w:rPr>
          <w:rFonts w:eastAsia="Times New Roman" w:cs="Arial"/>
          <w:color w:val="212121"/>
          <w:sz w:val="21"/>
          <w:szCs w:val="21"/>
        </w:rPr>
        <w:t xml:space="preserve"> 2, c</w:t>
      </w:r>
      <w:r>
        <w:rPr>
          <w:rFonts w:eastAsia="Times New Roman" w:cs="Arial"/>
          <w:color w:val="212121"/>
          <w:sz w:val="21"/>
          <w:szCs w:val="21"/>
        </w:rPr>
        <w:t>.</w:t>
      </w:r>
      <w:r w:rsidRPr="009F1AB3">
        <w:rPr>
          <w:rFonts w:eastAsia="Times New Roman" w:cs="Arial"/>
          <w:color w:val="212121"/>
          <w:sz w:val="21"/>
          <w:szCs w:val="21"/>
        </w:rPr>
        <w:t xml:space="preserve"> 3</w:t>
      </w:r>
      <w:r>
        <w:rPr>
          <w:rFonts w:eastAsia="Times New Roman" w:cs="Arial"/>
          <w:color w:val="212121"/>
          <w:sz w:val="21"/>
          <w:szCs w:val="21"/>
        </w:rPr>
        <w:t>)</w:t>
      </w:r>
      <w:r>
        <w:rPr>
          <w:rFonts w:ascii="Times New Roman" w:eastAsia="Times New Roman" w:hAnsi="Times New Roman"/>
        </w:rPr>
        <w:t xml:space="preserve"> </w:t>
      </w:r>
      <w:r>
        <w:t xml:space="preserve">in Alberta. In B.C., a less restrictive writing requirement is incorporated in the </w:t>
      </w:r>
      <w:r>
        <w:rPr>
          <w:i/>
          <w:iCs/>
        </w:rPr>
        <w:t>Law and Equity Act</w:t>
      </w:r>
      <w:r>
        <w:t>, R.S.B.C. 1996, c. 263, s. 59.</w:t>
      </w:r>
    </w:p>
  </w:footnote>
  <w:footnote w:id="54">
    <w:p w14:paraId="70251C11" w14:textId="1A36E41F" w:rsidR="00D27B93" w:rsidRPr="00756759" w:rsidRDefault="00D27B93">
      <w:pPr>
        <w:pStyle w:val="FootnoteText"/>
        <w:rPr>
          <w:lang w:val="en-US"/>
        </w:rPr>
      </w:pPr>
      <w:r w:rsidRPr="00756759">
        <w:rPr>
          <w:rStyle w:val="FootnoteReference"/>
        </w:rPr>
        <w:footnoteRef/>
      </w:r>
      <w:r w:rsidRPr="00756759">
        <w:t xml:space="preserve"> </w:t>
      </w:r>
      <w:r w:rsidRPr="00756759">
        <w:rPr>
          <w:i/>
        </w:rPr>
        <w:t>Hill v</w:t>
      </w:r>
      <w:r>
        <w:rPr>
          <w:i/>
        </w:rPr>
        <w:t>.</w:t>
      </w:r>
      <w:r w:rsidRPr="00756759">
        <w:rPr>
          <w:i/>
        </w:rPr>
        <w:t xml:space="preserve"> Nova Scotia (Attorney General)</w:t>
      </w:r>
      <w:r w:rsidRPr="00756759">
        <w:t>, [1997] 1 S</w:t>
      </w:r>
      <w:r>
        <w:t>.</w:t>
      </w:r>
      <w:r w:rsidRPr="00756759">
        <w:t>C</w:t>
      </w:r>
      <w:r>
        <w:t>.</w:t>
      </w:r>
      <w:r w:rsidRPr="00756759">
        <w:t>R</w:t>
      </w:r>
      <w:r>
        <w:t>.</w:t>
      </w:r>
      <w:r w:rsidRPr="00756759">
        <w:t xml:space="preserve"> 69 [“</w:t>
      </w:r>
      <w:r w:rsidRPr="00756759">
        <w:rPr>
          <w:b/>
          <w:i/>
        </w:rPr>
        <w:t>Hill</w:t>
      </w:r>
      <w:r w:rsidRPr="00756759">
        <w:t>”] at</w:t>
      </w:r>
      <w:r>
        <w:t xml:space="preserve"> </w:t>
      </w:r>
      <w:r w:rsidRPr="00756759">
        <w:t>para</w:t>
      </w:r>
      <w:r>
        <w:t>.</w:t>
      </w:r>
      <w:r w:rsidRPr="00756759">
        <w:t xml:space="preserve"> 10</w:t>
      </w:r>
      <w:r>
        <w:t xml:space="preserve">; </w:t>
      </w:r>
      <w:r>
        <w:rPr>
          <w:i/>
          <w:iCs/>
        </w:rPr>
        <w:t xml:space="preserve">Erie Sand </w:t>
      </w:r>
      <w:r>
        <w:t>at para. 49.</w:t>
      </w:r>
    </w:p>
  </w:footnote>
  <w:footnote w:id="55">
    <w:p w14:paraId="27DA400A" w14:textId="0EB6C3ED" w:rsidR="00D27B93" w:rsidRPr="00756759" w:rsidRDefault="00D27B93" w:rsidP="00301C60">
      <w:pPr>
        <w:pStyle w:val="FootnoteText"/>
        <w:rPr>
          <w:lang w:val="en-US"/>
        </w:rPr>
      </w:pPr>
      <w:r w:rsidRPr="00756759">
        <w:rPr>
          <w:rStyle w:val="FootnoteReference"/>
        </w:rPr>
        <w:footnoteRef/>
      </w:r>
      <w:r w:rsidRPr="00756759">
        <w:t xml:space="preserve"> </w:t>
      </w:r>
      <w:r w:rsidRPr="00756759">
        <w:rPr>
          <w:i/>
        </w:rPr>
        <w:t xml:space="preserve">Erie Sand </w:t>
      </w:r>
      <w:r w:rsidRPr="00756759">
        <w:t>at paras</w:t>
      </w:r>
      <w:r>
        <w:t>.</w:t>
      </w:r>
      <w:r w:rsidRPr="00756759">
        <w:t xml:space="preserve"> 49 and 75; </w:t>
      </w:r>
      <w:r w:rsidRPr="00756759">
        <w:rPr>
          <w:i/>
        </w:rPr>
        <w:t xml:space="preserve">Hill </w:t>
      </w:r>
      <w:r>
        <w:t xml:space="preserve">at paras. 5 and 10-14. </w:t>
      </w:r>
    </w:p>
  </w:footnote>
  <w:footnote w:id="56">
    <w:p w14:paraId="05B25265" w14:textId="0119BE81" w:rsidR="00D27B93" w:rsidRPr="00832801" w:rsidRDefault="00D27B93">
      <w:pPr>
        <w:pStyle w:val="FootnoteText"/>
      </w:pPr>
      <w:r>
        <w:rPr>
          <w:rStyle w:val="FootnoteReference"/>
        </w:rPr>
        <w:footnoteRef/>
      </w:r>
      <w:r>
        <w:t xml:space="preserve"> </w:t>
      </w:r>
      <w:proofErr w:type="spellStart"/>
      <w:r>
        <w:rPr>
          <w:i/>
          <w:iCs/>
        </w:rPr>
        <w:t>Haan</w:t>
      </w:r>
      <w:proofErr w:type="spellEnd"/>
      <w:r>
        <w:rPr>
          <w:i/>
          <w:iCs/>
        </w:rPr>
        <w:t xml:space="preserve"> v. Hann</w:t>
      </w:r>
      <w:r>
        <w:t xml:space="preserve">, 2015 ABCA 395 at para. 15(c); </w:t>
      </w:r>
      <w:r>
        <w:rPr>
          <w:i/>
          <w:iCs/>
        </w:rPr>
        <w:t xml:space="preserve">Mitchell v. </w:t>
      </w:r>
      <w:proofErr w:type="spellStart"/>
      <w:r>
        <w:rPr>
          <w:i/>
          <w:iCs/>
        </w:rPr>
        <w:t>Pytel</w:t>
      </w:r>
      <w:proofErr w:type="spellEnd"/>
      <w:r>
        <w:t xml:space="preserve">, 2021 ABQB 403 </w:t>
      </w:r>
      <w:r w:rsidRPr="00886365">
        <w:t>at</w:t>
      </w:r>
      <w:r>
        <w:t xml:space="preserve"> para. 234 and 242-247; </w:t>
      </w:r>
      <w:proofErr w:type="spellStart"/>
      <w:r>
        <w:rPr>
          <w:i/>
          <w:iCs/>
        </w:rPr>
        <w:t>Axcess</w:t>
      </w:r>
      <w:proofErr w:type="spellEnd"/>
      <w:r>
        <w:rPr>
          <w:i/>
          <w:iCs/>
        </w:rPr>
        <w:t xml:space="preserve"> Mortgage Fund Ltd.</w:t>
      </w:r>
      <w:r>
        <w:t xml:space="preserve"> </w:t>
      </w:r>
      <w:r>
        <w:rPr>
          <w:i/>
          <w:iCs/>
        </w:rPr>
        <w:t>v. 117640 Alberta Ltd.</w:t>
      </w:r>
      <w:r>
        <w:t>, 2018 ABQB 626 at paras. 183-187.</w:t>
      </w:r>
    </w:p>
  </w:footnote>
  <w:footnote w:id="57">
    <w:p w14:paraId="7185D724" w14:textId="6A7D3144" w:rsidR="00D27B93" w:rsidRPr="002D75BF" w:rsidRDefault="00D27B93">
      <w:pPr>
        <w:pStyle w:val="FootnoteText"/>
        <w:rPr>
          <w:lang w:val="en-US"/>
        </w:rPr>
      </w:pPr>
      <w:r>
        <w:rPr>
          <w:rStyle w:val="FootnoteReference"/>
        </w:rPr>
        <w:footnoteRef/>
      </w:r>
      <w:r>
        <w:t xml:space="preserve"> </w:t>
      </w:r>
      <w:r w:rsidRPr="002D75BF">
        <w:rPr>
          <w:i/>
        </w:rPr>
        <w:t>Roswell Group Inc v. 1353141 Alberta Ltd.</w:t>
      </w:r>
      <w:r w:rsidRPr="002D75BF">
        <w:t>, 2020 ABCA 428</w:t>
      </w:r>
      <w:r>
        <w:t xml:space="preserve"> at paras</w:t>
      </w:r>
      <w:r w:rsidR="00C56DA0">
        <w:t>.</w:t>
      </w:r>
      <w:r>
        <w:t xml:space="preserve"> 22 and 48.</w:t>
      </w:r>
    </w:p>
  </w:footnote>
  <w:footnote w:id="58">
    <w:p w14:paraId="5AB2AFAF" w14:textId="77777777" w:rsidR="00D27B93" w:rsidRPr="00756759" w:rsidRDefault="00D27B93" w:rsidP="002C3483">
      <w:pPr>
        <w:pStyle w:val="FootnoteText"/>
        <w:rPr>
          <w:rFonts w:ascii="TimesNewRomanPSMT" w:hAnsi="TimesNewRomanPSMT" w:cs="TimesNewRomanPSMT"/>
        </w:rPr>
      </w:pPr>
      <w:r w:rsidRPr="00756759">
        <w:rPr>
          <w:rStyle w:val="FootnoteReference"/>
        </w:rPr>
        <w:footnoteRef/>
      </w:r>
      <w:r w:rsidRPr="00756759">
        <w:t xml:space="preserve"> </w:t>
      </w:r>
      <w:proofErr w:type="spellStart"/>
      <w:r w:rsidRPr="00756759">
        <w:rPr>
          <w:i/>
        </w:rPr>
        <w:t>Delisle</w:t>
      </w:r>
      <w:proofErr w:type="spellEnd"/>
      <w:r w:rsidRPr="00756759">
        <w:rPr>
          <w:i/>
        </w:rPr>
        <w:t xml:space="preserve"> Foods Ltd</w:t>
      </w:r>
      <w:r>
        <w:rPr>
          <w:i/>
        </w:rPr>
        <w:t>.</w:t>
      </w:r>
      <w:r w:rsidRPr="00756759">
        <w:rPr>
          <w:i/>
        </w:rPr>
        <w:t xml:space="preserve"> v</w:t>
      </w:r>
      <w:r>
        <w:rPr>
          <w:i/>
        </w:rPr>
        <w:t>.</w:t>
      </w:r>
      <w:r w:rsidRPr="00756759">
        <w:rPr>
          <w:i/>
        </w:rPr>
        <w:t xml:space="preserve"> Glen S</w:t>
      </w:r>
      <w:r>
        <w:rPr>
          <w:i/>
        </w:rPr>
        <w:t>.</w:t>
      </w:r>
      <w:r w:rsidRPr="00756759">
        <w:rPr>
          <w:i/>
        </w:rPr>
        <w:t xml:space="preserve"> Case Investments Inc</w:t>
      </w:r>
      <w:r>
        <w:rPr>
          <w:i/>
        </w:rPr>
        <w:t>.</w:t>
      </w:r>
      <w:r w:rsidRPr="00756759">
        <w:t xml:space="preserve">, 1998 </w:t>
      </w:r>
      <w:proofErr w:type="spellStart"/>
      <w:r w:rsidRPr="00756759">
        <w:t>CarswellOnt</w:t>
      </w:r>
      <w:proofErr w:type="spellEnd"/>
      <w:r w:rsidRPr="00756759">
        <w:t xml:space="preserve"> 752 (C</w:t>
      </w:r>
      <w:r>
        <w:t>.</w:t>
      </w:r>
      <w:r w:rsidRPr="00756759">
        <w:t>A</w:t>
      </w:r>
      <w:r>
        <w:t>.</w:t>
      </w:r>
      <w:r w:rsidRPr="00756759">
        <w:t>) at para</w:t>
      </w:r>
      <w:r>
        <w:t>.</w:t>
      </w:r>
      <w:r w:rsidRPr="00756759">
        <w:t xml:space="preserve"> 4.</w:t>
      </w:r>
    </w:p>
  </w:footnote>
  <w:footnote w:id="59">
    <w:p w14:paraId="7BC0D296" w14:textId="13EFEE4E" w:rsidR="00D27B93" w:rsidRPr="001E638D" w:rsidRDefault="00D27B93">
      <w:pPr>
        <w:pStyle w:val="FootnoteText"/>
        <w:rPr>
          <w:i/>
          <w:lang w:val="en-US"/>
        </w:rPr>
      </w:pPr>
      <w:r>
        <w:rPr>
          <w:rStyle w:val="FootnoteReference"/>
        </w:rPr>
        <w:footnoteRef/>
      </w:r>
      <w:r>
        <w:t xml:space="preserve"> </w:t>
      </w:r>
      <w:r w:rsidRPr="00CE6F1D">
        <w:t xml:space="preserve">For example, </w:t>
      </w:r>
      <w:r>
        <w:t xml:space="preserve">the </w:t>
      </w:r>
      <w:r w:rsidRPr="00CE6F1D">
        <w:t xml:space="preserve">writing requirement has </w:t>
      </w:r>
      <w:r>
        <w:t xml:space="preserve">held to be </w:t>
      </w:r>
      <w:r w:rsidRPr="00CE6F1D">
        <w:t>been inapplicable to the forgiveness of a debt reducing the sale price of land (</w:t>
      </w:r>
      <w:proofErr w:type="spellStart"/>
      <w:r w:rsidRPr="00CE6F1D">
        <w:rPr>
          <w:i/>
        </w:rPr>
        <w:t>Sansalone</w:t>
      </w:r>
      <w:proofErr w:type="spellEnd"/>
      <w:r w:rsidRPr="00CE6F1D">
        <w:rPr>
          <w:i/>
        </w:rPr>
        <w:t xml:space="preserve"> v </w:t>
      </w:r>
      <w:proofErr w:type="spellStart"/>
      <w:r w:rsidRPr="00CE6F1D">
        <w:rPr>
          <w:i/>
        </w:rPr>
        <w:t>Sansalone</w:t>
      </w:r>
      <w:proofErr w:type="spellEnd"/>
      <w:r w:rsidRPr="00CE6F1D">
        <w:t xml:space="preserve">, 1997 </w:t>
      </w:r>
      <w:proofErr w:type="spellStart"/>
      <w:r w:rsidRPr="00CE6F1D">
        <w:t>CarswellOnt</w:t>
      </w:r>
      <w:proofErr w:type="spellEnd"/>
      <w:r w:rsidRPr="00CE6F1D">
        <w:t xml:space="preserve"> 2251 (</w:t>
      </w:r>
      <w:r>
        <w:t>Gen. Div.</w:t>
      </w:r>
      <w:r w:rsidRPr="00CE6F1D">
        <w:t>) at paras</w:t>
      </w:r>
      <w:r>
        <w:t>.</w:t>
      </w:r>
      <w:r w:rsidRPr="00CE6F1D">
        <w:t xml:space="preserve"> 27-29)</w:t>
      </w:r>
      <w:r>
        <w:t xml:space="preserve">, </w:t>
      </w:r>
      <w:r w:rsidRPr="00CE6F1D">
        <w:t>and to an</w:t>
      </w:r>
      <w:r>
        <w:t xml:space="preserve"> action</w:t>
      </w:r>
      <w:r w:rsidRPr="00CE6F1D">
        <w:t xml:space="preserve"> based on promissory notes </w:t>
      </w:r>
      <w:r>
        <w:t xml:space="preserve">given as consideration </w:t>
      </w:r>
      <w:r w:rsidRPr="00CE6F1D">
        <w:t xml:space="preserve">for the </w:t>
      </w:r>
      <w:r>
        <w:t xml:space="preserve">transfer of </w:t>
      </w:r>
      <w:r w:rsidRPr="00CE6F1D">
        <w:t>land (</w:t>
      </w:r>
      <w:proofErr w:type="spellStart"/>
      <w:r w:rsidRPr="00CE6F1D">
        <w:rPr>
          <w:i/>
        </w:rPr>
        <w:t>Kulczycki</w:t>
      </w:r>
      <w:proofErr w:type="spellEnd"/>
      <w:r w:rsidRPr="00CE6F1D">
        <w:rPr>
          <w:i/>
        </w:rPr>
        <w:t xml:space="preserve"> v</w:t>
      </w:r>
      <w:r>
        <w:rPr>
          <w:i/>
        </w:rPr>
        <w:t>.</w:t>
      </w:r>
      <w:r w:rsidRPr="00CE6F1D">
        <w:rPr>
          <w:i/>
        </w:rPr>
        <w:t xml:space="preserve"> </w:t>
      </w:r>
      <w:proofErr w:type="spellStart"/>
      <w:r w:rsidRPr="00CE6F1D">
        <w:rPr>
          <w:i/>
        </w:rPr>
        <w:t>Stupka</w:t>
      </w:r>
      <w:proofErr w:type="spellEnd"/>
      <w:r w:rsidRPr="00CE6F1D">
        <w:t xml:space="preserve">, 1984 </w:t>
      </w:r>
      <w:proofErr w:type="spellStart"/>
      <w:r w:rsidRPr="00CE6F1D">
        <w:t>CarswellSask</w:t>
      </w:r>
      <w:proofErr w:type="spellEnd"/>
      <w:r w:rsidRPr="00CE6F1D">
        <w:t xml:space="preserve"> 269 (</w:t>
      </w:r>
      <w:r>
        <w:t>Q.B.</w:t>
      </w:r>
      <w:r w:rsidRPr="00CE6F1D">
        <w:t>) at paras</w:t>
      </w:r>
      <w:r>
        <w:t>.</w:t>
      </w:r>
      <w:r w:rsidRPr="00CE6F1D">
        <w:t xml:space="preserve"> 20-22).  </w:t>
      </w:r>
    </w:p>
  </w:footnote>
  <w:footnote w:id="60">
    <w:p w14:paraId="2F5BAFDE" w14:textId="6F2AA738" w:rsidR="00D27B93" w:rsidRPr="001453E3" w:rsidRDefault="00D27B93">
      <w:pPr>
        <w:pStyle w:val="FootnoteText"/>
        <w:rPr>
          <w:lang w:val="en-US"/>
        </w:rPr>
      </w:pPr>
      <w:r>
        <w:rPr>
          <w:rStyle w:val="FootnoteReference"/>
        </w:rPr>
        <w:footnoteRef/>
      </w:r>
      <w:r>
        <w:t xml:space="preserve"> </w:t>
      </w:r>
      <w:proofErr w:type="spellStart"/>
      <w:r>
        <w:rPr>
          <w:i/>
          <w:lang w:val="en-US"/>
        </w:rPr>
        <w:t>Danesh</w:t>
      </w:r>
      <w:proofErr w:type="spellEnd"/>
      <w:r>
        <w:rPr>
          <w:i/>
          <w:lang w:val="en-US"/>
        </w:rPr>
        <w:t xml:space="preserve"> v. </w:t>
      </w:r>
      <w:proofErr w:type="spellStart"/>
      <w:r>
        <w:rPr>
          <w:i/>
          <w:lang w:val="en-US"/>
        </w:rPr>
        <w:t>Vahed</w:t>
      </w:r>
      <w:proofErr w:type="spellEnd"/>
      <w:r>
        <w:rPr>
          <w:lang w:val="en-US"/>
        </w:rPr>
        <w:t>, 2020 ONSC 3525 at paras. 65-66, aff’d 2021 ONCA 189.</w:t>
      </w:r>
    </w:p>
  </w:footnote>
  <w:footnote w:id="61">
    <w:p w14:paraId="6B76965C" w14:textId="0838291B" w:rsidR="00D27B93" w:rsidRPr="00E9013F" w:rsidRDefault="00D27B93">
      <w:pPr>
        <w:pStyle w:val="FootnoteText"/>
        <w:rPr>
          <w:lang w:val="en-US"/>
        </w:rPr>
      </w:pPr>
      <w:r>
        <w:rPr>
          <w:rStyle w:val="FootnoteReference"/>
        </w:rPr>
        <w:footnoteRef/>
      </w:r>
      <w:r>
        <w:t xml:space="preserve"> </w:t>
      </w:r>
      <w:r w:rsidRPr="00924A1F">
        <w:rPr>
          <w:i/>
        </w:rPr>
        <w:t>Campbell v</w:t>
      </w:r>
      <w:r>
        <w:rPr>
          <w:i/>
        </w:rPr>
        <w:t>.</w:t>
      </w:r>
      <w:r w:rsidRPr="00924A1F">
        <w:rPr>
          <w:i/>
        </w:rPr>
        <w:t xml:space="preserve"> Paradise </w:t>
      </w:r>
      <w:proofErr w:type="spellStart"/>
      <w:r w:rsidRPr="00924A1F">
        <w:rPr>
          <w:i/>
        </w:rPr>
        <w:t>Petroleums</w:t>
      </w:r>
      <w:proofErr w:type="spellEnd"/>
      <w:r w:rsidRPr="00924A1F">
        <w:rPr>
          <w:i/>
        </w:rPr>
        <w:t xml:space="preserve"> Ltd</w:t>
      </w:r>
      <w:r>
        <w:rPr>
          <w:i/>
        </w:rPr>
        <w:t>.</w:t>
      </w:r>
      <w:r>
        <w:t>, 2018</w:t>
      </w:r>
      <w:r w:rsidRPr="00924A1F">
        <w:t xml:space="preserve"> AB</w:t>
      </w:r>
      <w:r>
        <w:t>QB 411</w:t>
      </w:r>
      <w:r w:rsidRPr="00924A1F">
        <w:t xml:space="preserve"> at para</w:t>
      </w:r>
      <w:r>
        <w:t>s. 22-24</w:t>
      </w:r>
      <w:r w:rsidRPr="00924A1F">
        <w:t>.</w:t>
      </w:r>
    </w:p>
  </w:footnote>
  <w:footnote w:id="62">
    <w:p w14:paraId="3F7348E6" w14:textId="77777777" w:rsidR="00D27B93" w:rsidRPr="00924A1F" w:rsidRDefault="00D27B93">
      <w:pPr>
        <w:pStyle w:val="FootnoteText"/>
        <w:rPr>
          <w:lang w:val="en-US"/>
        </w:rPr>
      </w:pPr>
      <w:r>
        <w:rPr>
          <w:rStyle w:val="FootnoteReference"/>
        </w:rPr>
        <w:footnoteRef/>
      </w:r>
      <w:r>
        <w:t xml:space="preserve"> </w:t>
      </w:r>
      <w:r w:rsidRPr="00924A1F">
        <w:rPr>
          <w:i/>
        </w:rPr>
        <w:t>Campbell v</w:t>
      </w:r>
      <w:r>
        <w:rPr>
          <w:i/>
        </w:rPr>
        <w:t>.</w:t>
      </w:r>
      <w:r w:rsidRPr="00924A1F">
        <w:rPr>
          <w:i/>
        </w:rPr>
        <w:t xml:space="preserve"> Paradise </w:t>
      </w:r>
      <w:proofErr w:type="spellStart"/>
      <w:r w:rsidRPr="00924A1F">
        <w:rPr>
          <w:i/>
        </w:rPr>
        <w:t>Petroleums</w:t>
      </w:r>
      <w:proofErr w:type="spellEnd"/>
      <w:r w:rsidRPr="00924A1F">
        <w:rPr>
          <w:i/>
        </w:rPr>
        <w:t xml:space="preserve"> Ltd</w:t>
      </w:r>
      <w:r>
        <w:rPr>
          <w:i/>
        </w:rPr>
        <w:t>.</w:t>
      </w:r>
      <w:r w:rsidRPr="00924A1F">
        <w:t>, 2019 ABCA 410 at para</w:t>
      </w:r>
      <w:r>
        <w:t>.</w:t>
      </w:r>
      <w:r w:rsidRPr="00924A1F">
        <w:t xml:space="preserve"> 43.</w:t>
      </w:r>
      <w:r>
        <w:t xml:space="preserve"> See also </w:t>
      </w:r>
      <w:r w:rsidRPr="00756759">
        <w:rPr>
          <w:i/>
        </w:rPr>
        <w:t>Robert Michaels Group Inc</w:t>
      </w:r>
      <w:r>
        <w:rPr>
          <w:i/>
        </w:rPr>
        <w:t>.</w:t>
      </w:r>
      <w:r w:rsidRPr="00756759">
        <w:t xml:space="preserve"> </w:t>
      </w:r>
      <w:r w:rsidRPr="00756759">
        <w:rPr>
          <w:i/>
        </w:rPr>
        <w:t>v Shaw Communications Inc</w:t>
      </w:r>
      <w:r>
        <w:rPr>
          <w:i/>
        </w:rPr>
        <w:t>.</w:t>
      </w:r>
      <w:r w:rsidRPr="00756759">
        <w:t>, 2004 ABQB 745 at para</w:t>
      </w:r>
      <w:r>
        <w:t>.</w:t>
      </w:r>
      <w:r w:rsidRPr="00756759">
        <w:t xml:space="preserve"> 130.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26A9" w14:textId="77777777" w:rsidR="00BF04C8" w:rsidRDefault="00BF0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90CA" w14:textId="1E6F739A" w:rsidR="00BF04C8" w:rsidRDefault="00BF04C8">
    <w:pPr>
      <w:pStyle w:val="Header"/>
    </w:pPr>
    <w:r w:rsidRPr="00BF04C8">
      <w:t>Pre-Copy Edited Version</w:t>
    </w:r>
  </w:p>
  <w:p w14:paraId="2FC88A5E" w14:textId="77777777" w:rsidR="00BF04C8" w:rsidRDefault="00BF0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903C" w14:textId="77777777" w:rsidR="00BF04C8" w:rsidRDefault="00BF0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1A80"/>
    <w:multiLevelType w:val="hybridMultilevel"/>
    <w:tmpl w:val="8CC26AD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1D726DB"/>
    <w:multiLevelType w:val="hybridMultilevel"/>
    <w:tmpl w:val="A8A2033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D9E5DE5"/>
    <w:multiLevelType w:val="hybridMultilevel"/>
    <w:tmpl w:val="E68C2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244686"/>
    <w:multiLevelType w:val="multilevel"/>
    <w:tmpl w:val="5628CCB4"/>
    <w:name w:val="OutlineParaNum"/>
    <w:lvl w:ilvl="0">
      <w:start w:val="1"/>
      <w:numFmt w:val="decimal"/>
      <w:pStyle w:val="ACLParaOutlineNumL1"/>
      <w:lvlText w:val="%1."/>
      <w:lvlJc w:val="left"/>
      <w:pPr>
        <w:tabs>
          <w:tab w:val="num" w:pos="720"/>
        </w:tabs>
      </w:pPr>
      <w:rPr>
        <w:rFonts w:ascii="Times New Roman" w:hAnsi="Times New Roman" w:cs="Times New Roman" w:hint="default"/>
        <w:b w:val="0"/>
        <w:bCs w:val="0"/>
        <w:i w:val="0"/>
        <w:iCs w:val="0"/>
        <w:sz w:val="24"/>
        <w:szCs w:val="24"/>
        <w:u w:val="none"/>
      </w:rPr>
    </w:lvl>
    <w:lvl w:ilvl="1">
      <w:start w:val="1"/>
      <w:numFmt w:val="lowerLetter"/>
      <w:pStyle w:val="ACLParaOutlineNumL2"/>
      <w:lvlText w:val="(%2)"/>
      <w:lvlJc w:val="left"/>
      <w:pPr>
        <w:tabs>
          <w:tab w:val="num" w:pos="1440"/>
        </w:tabs>
        <w:ind w:left="1440" w:hanging="720"/>
      </w:pPr>
      <w:rPr>
        <w:rFonts w:ascii="Arial" w:hAnsi="Arial" w:cs="Times New Roman" w:hint="default"/>
        <w:b w:val="0"/>
        <w:bCs w:val="0"/>
        <w:i w:val="0"/>
        <w:iCs w:val="0"/>
        <w:sz w:val="24"/>
        <w:szCs w:val="24"/>
        <w:u w:val="none"/>
      </w:rPr>
    </w:lvl>
    <w:lvl w:ilvl="2">
      <w:start w:val="1"/>
      <w:numFmt w:val="lowerRoman"/>
      <w:pStyle w:val="ACLParaOutlineNumL3"/>
      <w:lvlText w:val="(%3)"/>
      <w:lvlJc w:val="left"/>
      <w:pPr>
        <w:tabs>
          <w:tab w:val="num" w:pos="2160"/>
        </w:tabs>
        <w:ind w:left="2160" w:hanging="720"/>
      </w:pPr>
      <w:rPr>
        <w:rFonts w:ascii="Times New Roman" w:hAnsi="Times New Roman" w:cs="Times New Roman" w:hint="default"/>
        <w:b w:val="0"/>
        <w:bCs w:val="0"/>
        <w:i w:val="0"/>
        <w:iCs w:val="0"/>
        <w:sz w:val="24"/>
        <w:szCs w:val="24"/>
        <w:u w:val="none"/>
      </w:rPr>
    </w:lvl>
    <w:lvl w:ilvl="3">
      <w:start w:val="1"/>
      <w:numFmt w:val="decimal"/>
      <w:pStyle w:val="ACLParaOutlineNumL4"/>
      <w:lvlText w:val="(%4)"/>
      <w:lvlJc w:val="left"/>
      <w:pPr>
        <w:tabs>
          <w:tab w:val="num" w:pos="2880"/>
        </w:tabs>
        <w:ind w:left="2880" w:hanging="720"/>
      </w:pPr>
      <w:rPr>
        <w:rFonts w:ascii="Times New Roman" w:hAnsi="Times New Roman" w:cs="Times New Roman" w:hint="default"/>
        <w:b w:val="0"/>
        <w:bCs w:val="0"/>
        <w:i w:val="0"/>
        <w:iCs w:val="0"/>
        <w:sz w:val="24"/>
        <w:szCs w:val="24"/>
        <w:u w:val="none"/>
      </w:rPr>
    </w:lvl>
    <w:lvl w:ilvl="4">
      <w:start w:val="1"/>
      <w:numFmt w:val="upperLetter"/>
      <w:pStyle w:val="ACLParaOutlineNumL5"/>
      <w:lvlText w:val="(%5)"/>
      <w:lvlJc w:val="left"/>
      <w:pPr>
        <w:tabs>
          <w:tab w:val="num" w:pos="3600"/>
        </w:tabs>
        <w:ind w:left="3600" w:hanging="720"/>
      </w:pPr>
      <w:rPr>
        <w:rFonts w:ascii="Times New Roman" w:hAnsi="Times New Roman" w:cs="Times New Roman" w:hint="default"/>
        <w:b w:val="0"/>
        <w:bCs w:val="0"/>
        <w:i w:val="0"/>
        <w:iCs w:val="0"/>
        <w:sz w:val="24"/>
        <w:szCs w:val="24"/>
        <w:u w:val="none"/>
      </w:rPr>
    </w:lvl>
    <w:lvl w:ilvl="5">
      <w:start w:val="1"/>
      <w:numFmt w:val="none"/>
      <w:lvlRestart w:val="0"/>
      <w:suff w:val="nothing"/>
      <w:lvlText w:val=""/>
      <w:lvlJc w:val="left"/>
      <w:rPr>
        <w:rFonts w:ascii="Times New Roman" w:hAnsi="Times New Roman" w:cs="Times New Roman" w:hint="default"/>
        <w:b w:val="0"/>
        <w:bCs w:val="0"/>
        <w:i w:val="0"/>
        <w:iCs w:val="0"/>
        <w:sz w:val="24"/>
        <w:szCs w:val="24"/>
        <w:u w:val="none"/>
      </w:rPr>
    </w:lvl>
    <w:lvl w:ilvl="6">
      <w:start w:val="1"/>
      <w:numFmt w:val="none"/>
      <w:lvlRestart w:val="0"/>
      <w:suff w:val="nothing"/>
      <w:lvlText w:val=""/>
      <w:lvlJc w:val="left"/>
      <w:rPr>
        <w:rFonts w:ascii="Times New Roman" w:hAnsi="Times New Roman" w:cs="Times New Roman" w:hint="default"/>
        <w:b w:val="0"/>
        <w:bCs w:val="0"/>
        <w:i w:val="0"/>
        <w:iCs w:val="0"/>
        <w:sz w:val="24"/>
        <w:szCs w:val="24"/>
        <w:u w:val="none"/>
      </w:rPr>
    </w:lvl>
    <w:lvl w:ilvl="7">
      <w:start w:val="1"/>
      <w:numFmt w:val="none"/>
      <w:lvlRestart w:val="0"/>
      <w:suff w:val="nothing"/>
      <w:lvlText w:val=""/>
      <w:lvlJc w:val="left"/>
      <w:rPr>
        <w:rFonts w:ascii="Times New Roman" w:hAnsi="Times New Roman" w:cs="Times New Roman" w:hint="default"/>
        <w:b w:val="0"/>
        <w:bCs w:val="0"/>
        <w:i w:val="0"/>
        <w:iCs w:val="0"/>
        <w:sz w:val="24"/>
        <w:szCs w:val="24"/>
        <w:u w:val="none"/>
      </w:rPr>
    </w:lvl>
    <w:lvl w:ilvl="8">
      <w:start w:val="1"/>
      <w:numFmt w:val="none"/>
      <w:lvlRestart w:val="0"/>
      <w:suff w:val="nothing"/>
      <w:lvlText w:val=""/>
      <w:lvlJc w:val="left"/>
      <w:rPr>
        <w:rFonts w:ascii="Times New Roman" w:hAnsi="Times New Roman" w:cs="Times New Roman" w:hint="default"/>
        <w:b w:val="0"/>
        <w:bCs w:val="0"/>
        <w:i w:val="0"/>
        <w:iCs w:val="0"/>
        <w:sz w:val="24"/>
        <w:szCs w:val="24"/>
        <w:u w:val="none"/>
      </w:rPr>
    </w:lvl>
  </w:abstractNum>
  <w:abstractNum w:abstractNumId="4" w15:restartNumberingAfterBreak="0">
    <w:nsid w:val="59294E13"/>
    <w:multiLevelType w:val="hybridMultilevel"/>
    <w:tmpl w:val="058078C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EA25E3"/>
    <w:multiLevelType w:val="hybridMultilevel"/>
    <w:tmpl w:val="7768528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12F1208"/>
    <w:multiLevelType w:val="hybridMultilevel"/>
    <w:tmpl w:val="C712A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F36782"/>
    <w:multiLevelType w:val="hybridMultilevel"/>
    <w:tmpl w:val="C2909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E207F2"/>
    <w:multiLevelType w:val="hybridMultilevel"/>
    <w:tmpl w:val="F7BA617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FAC6890"/>
    <w:multiLevelType w:val="hybridMultilevel"/>
    <w:tmpl w:val="57E69C4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7C92904"/>
    <w:multiLevelType w:val="hybridMultilevel"/>
    <w:tmpl w:val="6338F0C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3"/>
  </w:num>
  <w:num w:numId="8">
    <w:abstractNumId w:val="0"/>
  </w:num>
  <w:num w:numId="9">
    <w:abstractNumId w:val="1"/>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01"/>
    <w:rsid w:val="00002875"/>
    <w:rsid w:val="00004BCC"/>
    <w:rsid w:val="0000656D"/>
    <w:rsid w:val="00011CCA"/>
    <w:rsid w:val="00015068"/>
    <w:rsid w:val="000174E6"/>
    <w:rsid w:val="00020151"/>
    <w:rsid w:val="00021C3D"/>
    <w:rsid w:val="00023581"/>
    <w:rsid w:val="00024620"/>
    <w:rsid w:val="00025E8D"/>
    <w:rsid w:val="00026A4D"/>
    <w:rsid w:val="00027372"/>
    <w:rsid w:val="00030675"/>
    <w:rsid w:val="00032E21"/>
    <w:rsid w:val="000334FF"/>
    <w:rsid w:val="00033DBE"/>
    <w:rsid w:val="0003475D"/>
    <w:rsid w:val="00041B1E"/>
    <w:rsid w:val="000439A6"/>
    <w:rsid w:val="00044C19"/>
    <w:rsid w:val="00047040"/>
    <w:rsid w:val="0005033F"/>
    <w:rsid w:val="00051635"/>
    <w:rsid w:val="00060F17"/>
    <w:rsid w:val="00062625"/>
    <w:rsid w:val="000628C1"/>
    <w:rsid w:val="0006371F"/>
    <w:rsid w:val="000644A9"/>
    <w:rsid w:val="00065529"/>
    <w:rsid w:val="00072C72"/>
    <w:rsid w:val="0007314D"/>
    <w:rsid w:val="00074759"/>
    <w:rsid w:val="00077243"/>
    <w:rsid w:val="00077F36"/>
    <w:rsid w:val="00080A2A"/>
    <w:rsid w:val="00081CAE"/>
    <w:rsid w:val="00082FF5"/>
    <w:rsid w:val="00085BE5"/>
    <w:rsid w:val="00087AE6"/>
    <w:rsid w:val="00090944"/>
    <w:rsid w:val="0009096C"/>
    <w:rsid w:val="000945DC"/>
    <w:rsid w:val="0009725F"/>
    <w:rsid w:val="000978A5"/>
    <w:rsid w:val="000A1942"/>
    <w:rsid w:val="000A6D87"/>
    <w:rsid w:val="000A7E02"/>
    <w:rsid w:val="000A7F7A"/>
    <w:rsid w:val="000B35D4"/>
    <w:rsid w:val="000B4091"/>
    <w:rsid w:val="000B48F7"/>
    <w:rsid w:val="000B7560"/>
    <w:rsid w:val="000C1D26"/>
    <w:rsid w:val="000C27FC"/>
    <w:rsid w:val="000C4B31"/>
    <w:rsid w:val="000C4E8B"/>
    <w:rsid w:val="000C791A"/>
    <w:rsid w:val="000D070E"/>
    <w:rsid w:val="000D1924"/>
    <w:rsid w:val="000D1CFF"/>
    <w:rsid w:val="000D73BF"/>
    <w:rsid w:val="000E1F93"/>
    <w:rsid w:val="000E4726"/>
    <w:rsid w:val="000E481E"/>
    <w:rsid w:val="000E7609"/>
    <w:rsid w:val="000F0FC8"/>
    <w:rsid w:val="000F1831"/>
    <w:rsid w:val="000F1952"/>
    <w:rsid w:val="000F19B4"/>
    <w:rsid w:val="000F1D3B"/>
    <w:rsid w:val="000F2D91"/>
    <w:rsid w:val="000F32F2"/>
    <w:rsid w:val="000F375B"/>
    <w:rsid w:val="000F642D"/>
    <w:rsid w:val="000F69CC"/>
    <w:rsid w:val="000F75CE"/>
    <w:rsid w:val="001012F2"/>
    <w:rsid w:val="0010193D"/>
    <w:rsid w:val="00105243"/>
    <w:rsid w:val="00105A27"/>
    <w:rsid w:val="00110E2C"/>
    <w:rsid w:val="00111505"/>
    <w:rsid w:val="00111CAC"/>
    <w:rsid w:val="00113F81"/>
    <w:rsid w:val="001141EF"/>
    <w:rsid w:val="00116544"/>
    <w:rsid w:val="00116D46"/>
    <w:rsid w:val="0012076D"/>
    <w:rsid w:val="00120D28"/>
    <w:rsid w:val="00121456"/>
    <w:rsid w:val="001229F9"/>
    <w:rsid w:val="00122A11"/>
    <w:rsid w:val="00123492"/>
    <w:rsid w:val="001337BC"/>
    <w:rsid w:val="001345D1"/>
    <w:rsid w:val="0013686B"/>
    <w:rsid w:val="00140985"/>
    <w:rsid w:val="00140CA8"/>
    <w:rsid w:val="001432BD"/>
    <w:rsid w:val="001442B1"/>
    <w:rsid w:val="0014450F"/>
    <w:rsid w:val="00144D65"/>
    <w:rsid w:val="0014531A"/>
    <w:rsid w:val="001453E3"/>
    <w:rsid w:val="00150634"/>
    <w:rsid w:val="00157378"/>
    <w:rsid w:val="0015798E"/>
    <w:rsid w:val="0016070F"/>
    <w:rsid w:val="00160B2E"/>
    <w:rsid w:val="00162F9D"/>
    <w:rsid w:val="00165B30"/>
    <w:rsid w:val="00167106"/>
    <w:rsid w:val="00170A0D"/>
    <w:rsid w:val="00173CC5"/>
    <w:rsid w:val="001772AF"/>
    <w:rsid w:val="00177AFA"/>
    <w:rsid w:val="001835BA"/>
    <w:rsid w:val="00183685"/>
    <w:rsid w:val="001848C7"/>
    <w:rsid w:val="0018594D"/>
    <w:rsid w:val="0019027C"/>
    <w:rsid w:val="00190A75"/>
    <w:rsid w:val="001946F8"/>
    <w:rsid w:val="00196ADA"/>
    <w:rsid w:val="001A3802"/>
    <w:rsid w:val="001A4715"/>
    <w:rsid w:val="001A500D"/>
    <w:rsid w:val="001A79FF"/>
    <w:rsid w:val="001B19C5"/>
    <w:rsid w:val="001B1A27"/>
    <w:rsid w:val="001B3F81"/>
    <w:rsid w:val="001B60DF"/>
    <w:rsid w:val="001C13E4"/>
    <w:rsid w:val="001C264F"/>
    <w:rsid w:val="001C311E"/>
    <w:rsid w:val="001C394B"/>
    <w:rsid w:val="001C39E9"/>
    <w:rsid w:val="001C5507"/>
    <w:rsid w:val="001C6423"/>
    <w:rsid w:val="001D055F"/>
    <w:rsid w:val="001D1C1D"/>
    <w:rsid w:val="001D22FE"/>
    <w:rsid w:val="001D335A"/>
    <w:rsid w:val="001D36A7"/>
    <w:rsid w:val="001D672F"/>
    <w:rsid w:val="001D6BF3"/>
    <w:rsid w:val="001D7A92"/>
    <w:rsid w:val="001D7EB7"/>
    <w:rsid w:val="001E339A"/>
    <w:rsid w:val="001E638D"/>
    <w:rsid w:val="001E6991"/>
    <w:rsid w:val="001E6C56"/>
    <w:rsid w:val="001E7259"/>
    <w:rsid w:val="001E77CC"/>
    <w:rsid w:val="001F007A"/>
    <w:rsid w:val="001F2C44"/>
    <w:rsid w:val="001F2E47"/>
    <w:rsid w:val="001F3E74"/>
    <w:rsid w:val="001F6313"/>
    <w:rsid w:val="001F6885"/>
    <w:rsid w:val="00202B1E"/>
    <w:rsid w:val="00202D62"/>
    <w:rsid w:val="00202D81"/>
    <w:rsid w:val="0020509E"/>
    <w:rsid w:val="00205D24"/>
    <w:rsid w:val="00205EEE"/>
    <w:rsid w:val="00206309"/>
    <w:rsid w:val="00206AEF"/>
    <w:rsid w:val="002127B1"/>
    <w:rsid w:val="00213E27"/>
    <w:rsid w:val="00221418"/>
    <w:rsid w:val="002216D6"/>
    <w:rsid w:val="0022403E"/>
    <w:rsid w:val="00226812"/>
    <w:rsid w:val="002269E7"/>
    <w:rsid w:val="00233C71"/>
    <w:rsid w:val="00233E05"/>
    <w:rsid w:val="00235F79"/>
    <w:rsid w:val="00236A9F"/>
    <w:rsid w:val="002449DA"/>
    <w:rsid w:val="00245427"/>
    <w:rsid w:val="00245526"/>
    <w:rsid w:val="002459E0"/>
    <w:rsid w:val="0024733C"/>
    <w:rsid w:val="00252B0C"/>
    <w:rsid w:val="00252BDB"/>
    <w:rsid w:val="00255CB0"/>
    <w:rsid w:val="00255E35"/>
    <w:rsid w:val="002571A9"/>
    <w:rsid w:val="00263AFC"/>
    <w:rsid w:val="00275750"/>
    <w:rsid w:val="0027746D"/>
    <w:rsid w:val="002779AB"/>
    <w:rsid w:val="00282578"/>
    <w:rsid w:val="00287949"/>
    <w:rsid w:val="00290163"/>
    <w:rsid w:val="00293EC4"/>
    <w:rsid w:val="0029559C"/>
    <w:rsid w:val="002966EE"/>
    <w:rsid w:val="00297958"/>
    <w:rsid w:val="002A003A"/>
    <w:rsid w:val="002A3DF3"/>
    <w:rsid w:val="002A3F78"/>
    <w:rsid w:val="002A4E29"/>
    <w:rsid w:val="002A500D"/>
    <w:rsid w:val="002A5A85"/>
    <w:rsid w:val="002A69AD"/>
    <w:rsid w:val="002B05A6"/>
    <w:rsid w:val="002B113A"/>
    <w:rsid w:val="002B1C5C"/>
    <w:rsid w:val="002B27B4"/>
    <w:rsid w:val="002B3230"/>
    <w:rsid w:val="002B4B0E"/>
    <w:rsid w:val="002C0120"/>
    <w:rsid w:val="002C2DDC"/>
    <w:rsid w:val="002C3483"/>
    <w:rsid w:val="002C4E5D"/>
    <w:rsid w:val="002C523A"/>
    <w:rsid w:val="002D2FDD"/>
    <w:rsid w:val="002D428A"/>
    <w:rsid w:val="002D58DC"/>
    <w:rsid w:val="002D5F81"/>
    <w:rsid w:val="002D75BF"/>
    <w:rsid w:val="002D7DFA"/>
    <w:rsid w:val="002E1D21"/>
    <w:rsid w:val="002E2926"/>
    <w:rsid w:val="002E3609"/>
    <w:rsid w:val="002E37D7"/>
    <w:rsid w:val="002E3BF6"/>
    <w:rsid w:val="002E3E9A"/>
    <w:rsid w:val="002E76FE"/>
    <w:rsid w:val="002F0602"/>
    <w:rsid w:val="002F0B80"/>
    <w:rsid w:val="002F192D"/>
    <w:rsid w:val="002F1A15"/>
    <w:rsid w:val="002F5EDE"/>
    <w:rsid w:val="002F7C89"/>
    <w:rsid w:val="00301527"/>
    <w:rsid w:val="003018AF"/>
    <w:rsid w:val="00301C60"/>
    <w:rsid w:val="00301DB8"/>
    <w:rsid w:val="00302219"/>
    <w:rsid w:val="003033E0"/>
    <w:rsid w:val="003041DE"/>
    <w:rsid w:val="00304771"/>
    <w:rsid w:val="00305166"/>
    <w:rsid w:val="00306108"/>
    <w:rsid w:val="0031013F"/>
    <w:rsid w:val="003117F4"/>
    <w:rsid w:val="0031345D"/>
    <w:rsid w:val="00314048"/>
    <w:rsid w:val="00315246"/>
    <w:rsid w:val="003162B5"/>
    <w:rsid w:val="0032048B"/>
    <w:rsid w:val="00320520"/>
    <w:rsid w:val="0032278B"/>
    <w:rsid w:val="003233F0"/>
    <w:rsid w:val="00325E9C"/>
    <w:rsid w:val="00326D4D"/>
    <w:rsid w:val="003270DF"/>
    <w:rsid w:val="00330DC8"/>
    <w:rsid w:val="003312B3"/>
    <w:rsid w:val="00332219"/>
    <w:rsid w:val="0033359A"/>
    <w:rsid w:val="0033363E"/>
    <w:rsid w:val="00334BB4"/>
    <w:rsid w:val="00340E8F"/>
    <w:rsid w:val="00342305"/>
    <w:rsid w:val="00344D58"/>
    <w:rsid w:val="003504E7"/>
    <w:rsid w:val="00356190"/>
    <w:rsid w:val="0035682C"/>
    <w:rsid w:val="00357576"/>
    <w:rsid w:val="00365CBA"/>
    <w:rsid w:val="00366D66"/>
    <w:rsid w:val="00367B87"/>
    <w:rsid w:val="0037258B"/>
    <w:rsid w:val="00373545"/>
    <w:rsid w:val="00373AAA"/>
    <w:rsid w:val="00375959"/>
    <w:rsid w:val="00376112"/>
    <w:rsid w:val="00377A25"/>
    <w:rsid w:val="00382647"/>
    <w:rsid w:val="003833E4"/>
    <w:rsid w:val="003838F1"/>
    <w:rsid w:val="00384D34"/>
    <w:rsid w:val="00385AF6"/>
    <w:rsid w:val="0038769C"/>
    <w:rsid w:val="003878D6"/>
    <w:rsid w:val="0039008E"/>
    <w:rsid w:val="00393606"/>
    <w:rsid w:val="00397238"/>
    <w:rsid w:val="003A0133"/>
    <w:rsid w:val="003A1440"/>
    <w:rsid w:val="003A2021"/>
    <w:rsid w:val="003A2961"/>
    <w:rsid w:val="003A385C"/>
    <w:rsid w:val="003A41A7"/>
    <w:rsid w:val="003A4414"/>
    <w:rsid w:val="003A46E3"/>
    <w:rsid w:val="003A5CB6"/>
    <w:rsid w:val="003B10A1"/>
    <w:rsid w:val="003B1D9B"/>
    <w:rsid w:val="003B23FC"/>
    <w:rsid w:val="003B2794"/>
    <w:rsid w:val="003B2D0B"/>
    <w:rsid w:val="003B35C0"/>
    <w:rsid w:val="003B450E"/>
    <w:rsid w:val="003B5098"/>
    <w:rsid w:val="003B6639"/>
    <w:rsid w:val="003B667D"/>
    <w:rsid w:val="003C00D8"/>
    <w:rsid w:val="003C126D"/>
    <w:rsid w:val="003C3644"/>
    <w:rsid w:val="003C3FDF"/>
    <w:rsid w:val="003C4550"/>
    <w:rsid w:val="003C6045"/>
    <w:rsid w:val="003C6281"/>
    <w:rsid w:val="003C6CC4"/>
    <w:rsid w:val="003C7CD6"/>
    <w:rsid w:val="003D47DC"/>
    <w:rsid w:val="003D580F"/>
    <w:rsid w:val="003D60C9"/>
    <w:rsid w:val="003D66C9"/>
    <w:rsid w:val="003D680A"/>
    <w:rsid w:val="003D752B"/>
    <w:rsid w:val="003D784C"/>
    <w:rsid w:val="003E1D12"/>
    <w:rsid w:val="003E30BC"/>
    <w:rsid w:val="003E765C"/>
    <w:rsid w:val="003F0AE0"/>
    <w:rsid w:val="003F1E6B"/>
    <w:rsid w:val="003F2463"/>
    <w:rsid w:val="0040246D"/>
    <w:rsid w:val="004062A2"/>
    <w:rsid w:val="0040685F"/>
    <w:rsid w:val="00407F04"/>
    <w:rsid w:val="00412B22"/>
    <w:rsid w:val="00414691"/>
    <w:rsid w:val="004177FF"/>
    <w:rsid w:val="0042457D"/>
    <w:rsid w:val="00426F16"/>
    <w:rsid w:val="00427903"/>
    <w:rsid w:val="00427E9A"/>
    <w:rsid w:val="0043029D"/>
    <w:rsid w:val="004305EA"/>
    <w:rsid w:val="004316A4"/>
    <w:rsid w:val="004322FC"/>
    <w:rsid w:val="00434960"/>
    <w:rsid w:val="00434AB8"/>
    <w:rsid w:val="00434ECB"/>
    <w:rsid w:val="004354F5"/>
    <w:rsid w:val="00436083"/>
    <w:rsid w:val="00436966"/>
    <w:rsid w:val="00440EA3"/>
    <w:rsid w:val="00441A25"/>
    <w:rsid w:val="0044258A"/>
    <w:rsid w:val="00443013"/>
    <w:rsid w:val="00450102"/>
    <w:rsid w:val="00450EF5"/>
    <w:rsid w:val="00451B78"/>
    <w:rsid w:val="004601D6"/>
    <w:rsid w:val="00461C03"/>
    <w:rsid w:val="00465079"/>
    <w:rsid w:val="004658D7"/>
    <w:rsid w:val="004700AA"/>
    <w:rsid w:val="00471997"/>
    <w:rsid w:val="00472C1F"/>
    <w:rsid w:val="0047491A"/>
    <w:rsid w:val="004770EB"/>
    <w:rsid w:val="00477E90"/>
    <w:rsid w:val="00482783"/>
    <w:rsid w:val="00492D04"/>
    <w:rsid w:val="00493092"/>
    <w:rsid w:val="00497CEF"/>
    <w:rsid w:val="004A13BA"/>
    <w:rsid w:val="004A1BC7"/>
    <w:rsid w:val="004A502A"/>
    <w:rsid w:val="004A5051"/>
    <w:rsid w:val="004A5BF7"/>
    <w:rsid w:val="004A5D95"/>
    <w:rsid w:val="004A65D4"/>
    <w:rsid w:val="004B02AC"/>
    <w:rsid w:val="004B0749"/>
    <w:rsid w:val="004B1F2B"/>
    <w:rsid w:val="004B28C8"/>
    <w:rsid w:val="004B378E"/>
    <w:rsid w:val="004B3940"/>
    <w:rsid w:val="004B3D7D"/>
    <w:rsid w:val="004B5105"/>
    <w:rsid w:val="004B5B7D"/>
    <w:rsid w:val="004B7E01"/>
    <w:rsid w:val="004C1CB7"/>
    <w:rsid w:val="004C2B00"/>
    <w:rsid w:val="004C364D"/>
    <w:rsid w:val="004C4050"/>
    <w:rsid w:val="004C42B1"/>
    <w:rsid w:val="004C4456"/>
    <w:rsid w:val="004C4E9B"/>
    <w:rsid w:val="004D01CB"/>
    <w:rsid w:val="004D3CCC"/>
    <w:rsid w:val="004D77B7"/>
    <w:rsid w:val="004E18F5"/>
    <w:rsid w:val="004E1973"/>
    <w:rsid w:val="004E1D80"/>
    <w:rsid w:val="004E46ED"/>
    <w:rsid w:val="004E51F9"/>
    <w:rsid w:val="004E6AD9"/>
    <w:rsid w:val="004E7803"/>
    <w:rsid w:val="004F0AFA"/>
    <w:rsid w:val="004F2EBC"/>
    <w:rsid w:val="004F3105"/>
    <w:rsid w:val="00500ECA"/>
    <w:rsid w:val="00501592"/>
    <w:rsid w:val="005025DA"/>
    <w:rsid w:val="0050451C"/>
    <w:rsid w:val="00506AC4"/>
    <w:rsid w:val="00515AED"/>
    <w:rsid w:val="005176FF"/>
    <w:rsid w:val="00517778"/>
    <w:rsid w:val="0052010F"/>
    <w:rsid w:val="00521A8A"/>
    <w:rsid w:val="0052406A"/>
    <w:rsid w:val="00525024"/>
    <w:rsid w:val="00525C14"/>
    <w:rsid w:val="00526846"/>
    <w:rsid w:val="00526BD9"/>
    <w:rsid w:val="00531178"/>
    <w:rsid w:val="005322EA"/>
    <w:rsid w:val="005329AE"/>
    <w:rsid w:val="00532F15"/>
    <w:rsid w:val="00540C18"/>
    <w:rsid w:val="00541289"/>
    <w:rsid w:val="00541559"/>
    <w:rsid w:val="00541C30"/>
    <w:rsid w:val="005426AE"/>
    <w:rsid w:val="00543BBF"/>
    <w:rsid w:val="00544B98"/>
    <w:rsid w:val="00546D3F"/>
    <w:rsid w:val="00547675"/>
    <w:rsid w:val="005503DD"/>
    <w:rsid w:val="0055396D"/>
    <w:rsid w:val="00555CC3"/>
    <w:rsid w:val="00556C30"/>
    <w:rsid w:val="00557535"/>
    <w:rsid w:val="005616DF"/>
    <w:rsid w:val="0056189A"/>
    <w:rsid w:val="005630D2"/>
    <w:rsid w:val="0056313D"/>
    <w:rsid w:val="00570C37"/>
    <w:rsid w:val="0057238F"/>
    <w:rsid w:val="00574111"/>
    <w:rsid w:val="00575E1A"/>
    <w:rsid w:val="00580E99"/>
    <w:rsid w:val="00582A33"/>
    <w:rsid w:val="00584988"/>
    <w:rsid w:val="00585837"/>
    <w:rsid w:val="00585B15"/>
    <w:rsid w:val="005873ED"/>
    <w:rsid w:val="0058798B"/>
    <w:rsid w:val="005909A1"/>
    <w:rsid w:val="005930B9"/>
    <w:rsid w:val="00594DEC"/>
    <w:rsid w:val="00596AAB"/>
    <w:rsid w:val="005A1822"/>
    <w:rsid w:val="005A1A2A"/>
    <w:rsid w:val="005A2C3D"/>
    <w:rsid w:val="005A4311"/>
    <w:rsid w:val="005A4A33"/>
    <w:rsid w:val="005A5D21"/>
    <w:rsid w:val="005A674A"/>
    <w:rsid w:val="005A72CC"/>
    <w:rsid w:val="005B08BB"/>
    <w:rsid w:val="005B1237"/>
    <w:rsid w:val="005B37DE"/>
    <w:rsid w:val="005B387E"/>
    <w:rsid w:val="005B4C48"/>
    <w:rsid w:val="005B5CC4"/>
    <w:rsid w:val="005B70CA"/>
    <w:rsid w:val="005C0DA7"/>
    <w:rsid w:val="005C449E"/>
    <w:rsid w:val="005C532B"/>
    <w:rsid w:val="005C6067"/>
    <w:rsid w:val="005C660A"/>
    <w:rsid w:val="005D0B7A"/>
    <w:rsid w:val="005D1938"/>
    <w:rsid w:val="005D3FA5"/>
    <w:rsid w:val="005D4197"/>
    <w:rsid w:val="005D49CF"/>
    <w:rsid w:val="005E3313"/>
    <w:rsid w:val="005E4330"/>
    <w:rsid w:val="005E436E"/>
    <w:rsid w:val="005E4B51"/>
    <w:rsid w:val="005E4CA1"/>
    <w:rsid w:val="005E5E11"/>
    <w:rsid w:val="005E7D4D"/>
    <w:rsid w:val="005F6748"/>
    <w:rsid w:val="005F67DA"/>
    <w:rsid w:val="006023CD"/>
    <w:rsid w:val="00604363"/>
    <w:rsid w:val="00604832"/>
    <w:rsid w:val="00604D8E"/>
    <w:rsid w:val="00606355"/>
    <w:rsid w:val="00606C01"/>
    <w:rsid w:val="00607570"/>
    <w:rsid w:val="00610956"/>
    <w:rsid w:val="0061312F"/>
    <w:rsid w:val="00613A3E"/>
    <w:rsid w:val="006149E2"/>
    <w:rsid w:val="00615869"/>
    <w:rsid w:val="00617443"/>
    <w:rsid w:val="00620840"/>
    <w:rsid w:val="00623AE1"/>
    <w:rsid w:val="006240A3"/>
    <w:rsid w:val="006245DE"/>
    <w:rsid w:val="0063534E"/>
    <w:rsid w:val="0063604F"/>
    <w:rsid w:val="006412C4"/>
    <w:rsid w:val="006413E1"/>
    <w:rsid w:val="00642DDD"/>
    <w:rsid w:val="00642FF8"/>
    <w:rsid w:val="0064440A"/>
    <w:rsid w:val="00645EC1"/>
    <w:rsid w:val="00646B56"/>
    <w:rsid w:val="00647DC0"/>
    <w:rsid w:val="00647E6A"/>
    <w:rsid w:val="00651168"/>
    <w:rsid w:val="006515FA"/>
    <w:rsid w:val="006522CD"/>
    <w:rsid w:val="006525D0"/>
    <w:rsid w:val="00655850"/>
    <w:rsid w:val="00657590"/>
    <w:rsid w:val="00657A82"/>
    <w:rsid w:val="006647CB"/>
    <w:rsid w:val="00667AFD"/>
    <w:rsid w:val="0067174F"/>
    <w:rsid w:val="0067176D"/>
    <w:rsid w:val="00674F93"/>
    <w:rsid w:val="00675E37"/>
    <w:rsid w:val="00676440"/>
    <w:rsid w:val="00680C2A"/>
    <w:rsid w:val="00685AE6"/>
    <w:rsid w:val="0068620A"/>
    <w:rsid w:val="006863ED"/>
    <w:rsid w:val="006871DB"/>
    <w:rsid w:val="006911AE"/>
    <w:rsid w:val="0069755B"/>
    <w:rsid w:val="006A067C"/>
    <w:rsid w:val="006A3006"/>
    <w:rsid w:val="006A4A93"/>
    <w:rsid w:val="006A75C0"/>
    <w:rsid w:val="006B0FA0"/>
    <w:rsid w:val="006B2353"/>
    <w:rsid w:val="006B3663"/>
    <w:rsid w:val="006B38DB"/>
    <w:rsid w:val="006B40D7"/>
    <w:rsid w:val="006B4561"/>
    <w:rsid w:val="006B4BAA"/>
    <w:rsid w:val="006B6B0E"/>
    <w:rsid w:val="006C1A08"/>
    <w:rsid w:val="006C2453"/>
    <w:rsid w:val="006C3BD2"/>
    <w:rsid w:val="006C6AB8"/>
    <w:rsid w:val="006D2DFD"/>
    <w:rsid w:val="006D464B"/>
    <w:rsid w:val="006D470C"/>
    <w:rsid w:val="006D5E19"/>
    <w:rsid w:val="006D7F3A"/>
    <w:rsid w:val="006E2C7E"/>
    <w:rsid w:val="006E3587"/>
    <w:rsid w:val="006E4705"/>
    <w:rsid w:val="006E4D53"/>
    <w:rsid w:val="006E5933"/>
    <w:rsid w:val="006E657B"/>
    <w:rsid w:val="006F2989"/>
    <w:rsid w:val="006F4148"/>
    <w:rsid w:val="006F5EDA"/>
    <w:rsid w:val="00700849"/>
    <w:rsid w:val="007013EE"/>
    <w:rsid w:val="00703656"/>
    <w:rsid w:val="00704405"/>
    <w:rsid w:val="0070480C"/>
    <w:rsid w:val="00705CA8"/>
    <w:rsid w:val="007069CD"/>
    <w:rsid w:val="0070720E"/>
    <w:rsid w:val="00710CAA"/>
    <w:rsid w:val="00712E68"/>
    <w:rsid w:val="007217AD"/>
    <w:rsid w:val="00722C1A"/>
    <w:rsid w:val="00722FEA"/>
    <w:rsid w:val="00723A34"/>
    <w:rsid w:val="00724275"/>
    <w:rsid w:val="007243CB"/>
    <w:rsid w:val="007252BE"/>
    <w:rsid w:val="0073081A"/>
    <w:rsid w:val="00731F79"/>
    <w:rsid w:val="0073285A"/>
    <w:rsid w:val="00740639"/>
    <w:rsid w:val="00742B6B"/>
    <w:rsid w:val="00744A4C"/>
    <w:rsid w:val="007465B0"/>
    <w:rsid w:val="0074787B"/>
    <w:rsid w:val="0075204A"/>
    <w:rsid w:val="00753CA1"/>
    <w:rsid w:val="00756759"/>
    <w:rsid w:val="0075696A"/>
    <w:rsid w:val="007571AB"/>
    <w:rsid w:val="007667AD"/>
    <w:rsid w:val="00767DCC"/>
    <w:rsid w:val="00771FCB"/>
    <w:rsid w:val="00773D38"/>
    <w:rsid w:val="0077456E"/>
    <w:rsid w:val="007755DC"/>
    <w:rsid w:val="00777705"/>
    <w:rsid w:val="00782D42"/>
    <w:rsid w:val="00783B4B"/>
    <w:rsid w:val="00784107"/>
    <w:rsid w:val="00786689"/>
    <w:rsid w:val="00791644"/>
    <w:rsid w:val="0079341C"/>
    <w:rsid w:val="00794790"/>
    <w:rsid w:val="00794E67"/>
    <w:rsid w:val="007957CF"/>
    <w:rsid w:val="007A0168"/>
    <w:rsid w:val="007A038B"/>
    <w:rsid w:val="007A1B26"/>
    <w:rsid w:val="007A76B6"/>
    <w:rsid w:val="007A7F75"/>
    <w:rsid w:val="007B1AAA"/>
    <w:rsid w:val="007B3475"/>
    <w:rsid w:val="007B61D2"/>
    <w:rsid w:val="007B6309"/>
    <w:rsid w:val="007B6602"/>
    <w:rsid w:val="007C018A"/>
    <w:rsid w:val="007C1DE6"/>
    <w:rsid w:val="007C266F"/>
    <w:rsid w:val="007C3294"/>
    <w:rsid w:val="007C3CAE"/>
    <w:rsid w:val="007C43C5"/>
    <w:rsid w:val="007C52B0"/>
    <w:rsid w:val="007C57A0"/>
    <w:rsid w:val="007C681C"/>
    <w:rsid w:val="007C773B"/>
    <w:rsid w:val="007C7795"/>
    <w:rsid w:val="007C7EF0"/>
    <w:rsid w:val="007D0206"/>
    <w:rsid w:val="007D11B8"/>
    <w:rsid w:val="007D1EA5"/>
    <w:rsid w:val="007D20FE"/>
    <w:rsid w:val="007D2904"/>
    <w:rsid w:val="007D2B6D"/>
    <w:rsid w:val="007D2DF8"/>
    <w:rsid w:val="007D32C7"/>
    <w:rsid w:val="007D3CE2"/>
    <w:rsid w:val="007D4279"/>
    <w:rsid w:val="007D57C2"/>
    <w:rsid w:val="007E1BBD"/>
    <w:rsid w:val="007E4A05"/>
    <w:rsid w:val="007E4A0D"/>
    <w:rsid w:val="007E5084"/>
    <w:rsid w:val="007E65DA"/>
    <w:rsid w:val="007E79B1"/>
    <w:rsid w:val="007F4490"/>
    <w:rsid w:val="007F6706"/>
    <w:rsid w:val="0080537D"/>
    <w:rsid w:val="00806EF0"/>
    <w:rsid w:val="0081071F"/>
    <w:rsid w:val="00810E02"/>
    <w:rsid w:val="00811C7B"/>
    <w:rsid w:val="00815002"/>
    <w:rsid w:val="008226D8"/>
    <w:rsid w:val="00823952"/>
    <w:rsid w:val="008313DE"/>
    <w:rsid w:val="00832765"/>
    <w:rsid w:val="00832801"/>
    <w:rsid w:val="00832933"/>
    <w:rsid w:val="00834CA3"/>
    <w:rsid w:val="0083591C"/>
    <w:rsid w:val="008360B0"/>
    <w:rsid w:val="0084083F"/>
    <w:rsid w:val="008416D3"/>
    <w:rsid w:val="0084312E"/>
    <w:rsid w:val="008435F4"/>
    <w:rsid w:val="008442E8"/>
    <w:rsid w:val="008463DD"/>
    <w:rsid w:val="00847D19"/>
    <w:rsid w:val="00847F84"/>
    <w:rsid w:val="00847FAF"/>
    <w:rsid w:val="00850091"/>
    <w:rsid w:val="00851ACD"/>
    <w:rsid w:val="00852AF7"/>
    <w:rsid w:val="00852D14"/>
    <w:rsid w:val="00853364"/>
    <w:rsid w:val="008554D2"/>
    <w:rsid w:val="00857653"/>
    <w:rsid w:val="008624D5"/>
    <w:rsid w:val="008632CF"/>
    <w:rsid w:val="008635C9"/>
    <w:rsid w:val="00864DBD"/>
    <w:rsid w:val="00866336"/>
    <w:rsid w:val="00871539"/>
    <w:rsid w:val="0087217A"/>
    <w:rsid w:val="00874D9A"/>
    <w:rsid w:val="008757E8"/>
    <w:rsid w:val="00876B8A"/>
    <w:rsid w:val="00881570"/>
    <w:rsid w:val="00883C2F"/>
    <w:rsid w:val="00885717"/>
    <w:rsid w:val="00886365"/>
    <w:rsid w:val="008866A7"/>
    <w:rsid w:val="0089436D"/>
    <w:rsid w:val="0089574D"/>
    <w:rsid w:val="008A229D"/>
    <w:rsid w:val="008A5483"/>
    <w:rsid w:val="008A7876"/>
    <w:rsid w:val="008B1934"/>
    <w:rsid w:val="008B1A84"/>
    <w:rsid w:val="008B3892"/>
    <w:rsid w:val="008B6932"/>
    <w:rsid w:val="008C124F"/>
    <w:rsid w:val="008C38B0"/>
    <w:rsid w:val="008C50B2"/>
    <w:rsid w:val="008C720F"/>
    <w:rsid w:val="008C770A"/>
    <w:rsid w:val="008C77EA"/>
    <w:rsid w:val="008D349C"/>
    <w:rsid w:val="008D3D63"/>
    <w:rsid w:val="008D4BD7"/>
    <w:rsid w:val="008D512F"/>
    <w:rsid w:val="008E0F59"/>
    <w:rsid w:val="008E2095"/>
    <w:rsid w:val="008E445D"/>
    <w:rsid w:val="008E537A"/>
    <w:rsid w:val="008E78A9"/>
    <w:rsid w:val="008F02EF"/>
    <w:rsid w:val="008F1672"/>
    <w:rsid w:val="008F36F0"/>
    <w:rsid w:val="008F4097"/>
    <w:rsid w:val="008F70A2"/>
    <w:rsid w:val="008F74B4"/>
    <w:rsid w:val="009062DE"/>
    <w:rsid w:val="0090754C"/>
    <w:rsid w:val="00910A36"/>
    <w:rsid w:val="0091575B"/>
    <w:rsid w:val="00920115"/>
    <w:rsid w:val="00922483"/>
    <w:rsid w:val="0092323F"/>
    <w:rsid w:val="00924A1F"/>
    <w:rsid w:val="00924A37"/>
    <w:rsid w:val="009251D9"/>
    <w:rsid w:val="00925D32"/>
    <w:rsid w:val="009264A9"/>
    <w:rsid w:val="009279B0"/>
    <w:rsid w:val="00930A3A"/>
    <w:rsid w:val="009320C3"/>
    <w:rsid w:val="00932986"/>
    <w:rsid w:val="00936792"/>
    <w:rsid w:val="009378D0"/>
    <w:rsid w:val="0094754E"/>
    <w:rsid w:val="00947E98"/>
    <w:rsid w:val="009513C3"/>
    <w:rsid w:val="00951B6D"/>
    <w:rsid w:val="00952680"/>
    <w:rsid w:val="00953A30"/>
    <w:rsid w:val="00953FBE"/>
    <w:rsid w:val="00970855"/>
    <w:rsid w:val="00971F1C"/>
    <w:rsid w:val="009721C7"/>
    <w:rsid w:val="00972CB5"/>
    <w:rsid w:val="00974751"/>
    <w:rsid w:val="00976511"/>
    <w:rsid w:val="00976C51"/>
    <w:rsid w:val="00977AEB"/>
    <w:rsid w:val="00977B39"/>
    <w:rsid w:val="00982351"/>
    <w:rsid w:val="00983084"/>
    <w:rsid w:val="0098334F"/>
    <w:rsid w:val="0098569B"/>
    <w:rsid w:val="00986B0B"/>
    <w:rsid w:val="00986BCB"/>
    <w:rsid w:val="009871F3"/>
    <w:rsid w:val="00990E8B"/>
    <w:rsid w:val="009914A8"/>
    <w:rsid w:val="009922ED"/>
    <w:rsid w:val="009960F0"/>
    <w:rsid w:val="009A0AC7"/>
    <w:rsid w:val="009A4A8C"/>
    <w:rsid w:val="009A5964"/>
    <w:rsid w:val="009A6451"/>
    <w:rsid w:val="009A71C8"/>
    <w:rsid w:val="009A7915"/>
    <w:rsid w:val="009B1D2D"/>
    <w:rsid w:val="009B26E5"/>
    <w:rsid w:val="009B6C2B"/>
    <w:rsid w:val="009C287D"/>
    <w:rsid w:val="009C43B4"/>
    <w:rsid w:val="009C7299"/>
    <w:rsid w:val="009D0429"/>
    <w:rsid w:val="009D2C4A"/>
    <w:rsid w:val="009D7854"/>
    <w:rsid w:val="009E0651"/>
    <w:rsid w:val="009E0A6C"/>
    <w:rsid w:val="009E1EB3"/>
    <w:rsid w:val="009F10F5"/>
    <w:rsid w:val="009F1AB3"/>
    <w:rsid w:val="009F5637"/>
    <w:rsid w:val="009F6BB2"/>
    <w:rsid w:val="009F7A1F"/>
    <w:rsid w:val="009F7DA0"/>
    <w:rsid w:val="00A000D2"/>
    <w:rsid w:val="00A00995"/>
    <w:rsid w:val="00A022AE"/>
    <w:rsid w:val="00A02C1B"/>
    <w:rsid w:val="00A0405D"/>
    <w:rsid w:val="00A05377"/>
    <w:rsid w:val="00A1155C"/>
    <w:rsid w:val="00A13659"/>
    <w:rsid w:val="00A1615A"/>
    <w:rsid w:val="00A1619D"/>
    <w:rsid w:val="00A17E73"/>
    <w:rsid w:val="00A20B6D"/>
    <w:rsid w:val="00A253A7"/>
    <w:rsid w:val="00A259F1"/>
    <w:rsid w:val="00A3080C"/>
    <w:rsid w:val="00A30E49"/>
    <w:rsid w:val="00A31C5C"/>
    <w:rsid w:val="00A32A80"/>
    <w:rsid w:val="00A32E53"/>
    <w:rsid w:val="00A33259"/>
    <w:rsid w:val="00A34ACD"/>
    <w:rsid w:val="00A41483"/>
    <w:rsid w:val="00A417B4"/>
    <w:rsid w:val="00A41F8F"/>
    <w:rsid w:val="00A52061"/>
    <w:rsid w:val="00A52A6F"/>
    <w:rsid w:val="00A55C2E"/>
    <w:rsid w:val="00A60143"/>
    <w:rsid w:val="00A61D2B"/>
    <w:rsid w:val="00A6350C"/>
    <w:rsid w:val="00A64E5E"/>
    <w:rsid w:val="00A651AF"/>
    <w:rsid w:val="00A704C0"/>
    <w:rsid w:val="00A70B6F"/>
    <w:rsid w:val="00A72B7A"/>
    <w:rsid w:val="00A73822"/>
    <w:rsid w:val="00A73E0B"/>
    <w:rsid w:val="00A75739"/>
    <w:rsid w:val="00A775C3"/>
    <w:rsid w:val="00A804A6"/>
    <w:rsid w:val="00A807BA"/>
    <w:rsid w:val="00A82080"/>
    <w:rsid w:val="00A8218F"/>
    <w:rsid w:val="00A8292E"/>
    <w:rsid w:val="00A83423"/>
    <w:rsid w:val="00A853B0"/>
    <w:rsid w:val="00A85B63"/>
    <w:rsid w:val="00A86C99"/>
    <w:rsid w:val="00A90B5E"/>
    <w:rsid w:val="00A9131D"/>
    <w:rsid w:val="00A922BF"/>
    <w:rsid w:val="00A92DEB"/>
    <w:rsid w:val="00A9452B"/>
    <w:rsid w:val="00A9544A"/>
    <w:rsid w:val="00A96225"/>
    <w:rsid w:val="00AA0410"/>
    <w:rsid w:val="00AA130D"/>
    <w:rsid w:val="00AA526F"/>
    <w:rsid w:val="00AA70BF"/>
    <w:rsid w:val="00AB44F8"/>
    <w:rsid w:val="00AB4743"/>
    <w:rsid w:val="00AB691F"/>
    <w:rsid w:val="00AC105A"/>
    <w:rsid w:val="00AC302C"/>
    <w:rsid w:val="00AC33E4"/>
    <w:rsid w:val="00AC37B7"/>
    <w:rsid w:val="00AC4AE3"/>
    <w:rsid w:val="00AC4E14"/>
    <w:rsid w:val="00AC588F"/>
    <w:rsid w:val="00AC7BF7"/>
    <w:rsid w:val="00AD0B7B"/>
    <w:rsid w:val="00AD0DBB"/>
    <w:rsid w:val="00AD1737"/>
    <w:rsid w:val="00AD176E"/>
    <w:rsid w:val="00AD55B5"/>
    <w:rsid w:val="00AD5E21"/>
    <w:rsid w:val="00AE0534"/>
    <w:rsid w:val="00AE0A05"/>
    <w:rsid w:val="00AE1A9F"/>
    <w:rsid w:val="00AE1E2A"/>
    <w:rsid w:val="00AE30CF"/>
    <w:rsid w:val="00AE31CD"/>
    <w:rsid w:val="00AE6CE0"/>
    <w:rsid w:val="00AF58CD"/>
    <w:rsid w:val="00B002F7"/>
    <w:rsid w:val="00B05A59"/>
    <w:rsid w:val="00B113CB"/>
    <w:rsid w:val="00B12682"/>
    <w:rsid w:val="00B12715"/>
    <w:rsid w:val="00B1394B"/>
    <w:rsid w:val="00B20985"/>
    <w:rsid w:val="00B21A51"/>
    <w:rsid w:val="00B21A5B"/>
    <w:rsid w:val="00B24250"/>
    <w:rsid w:val="00B24E93"/>
    <w:rsid w:val="00B24FF4"/>
    <w:rsid w:val="00B26CE9"/>
    <w:rsid w:val="00B276AE"/>
    <w:rsid w:val="00B27AE9"/>
    <w:rsid w:val="00B3049F"/>
    <w:rsid w:val="00B30B31"/>
    <w:rsid w:val="00B30DC1"/>
    <w:rsid w:val="00B32033"/>
    <w:rsid w:val="00B32085"/>
    <w:rsid w:val="00B33868"/>
    <w:rsid w:val="00B33FFD"/>
    <w:rsid w:val="00B412A2"/>
    <w:rsid w:val="00B441D3"/>
    <w:rsid w:val="00B455B5"/>
    <w:rsid w:val="00B47CC1"/>
    <w:rsid w:val="00B50816"/>
    <w:rsid w:val="00B51209"/>
    <w:rsid w:val="00B523F7"/>
    <w:rsid w:val="00B54C44"/>
    <w:rsid w:val="00B54FA6"/>
    <w:rsid w:val="00B55AF6"/>
    <w:rsid w:val="00B624BF"/>
    <w:rsid w:val="00B669A3"/>
    <w:rsid w:val="00B677D1"/>
    <w:rsid w:val="00B67E5B"/>
    <w:rsid w:val="00B70B19"/>
    <w:rsid w:val="00B7113D"/>
    <w:rsid w:val="00B728AD"/>
    <w:rsid w:val="00B74F76"/>
    <w:rsid w:val="00B75F64"/>
    <w:rsid w:val="00B76458"/>
    <w:rsid w:val="00B77642"/>
    <w:rsid w:val="00B80110"/>
    <w:rsid w:val="00B81806"/>
    <w:rsid w:val="00B82116"/>
    <w:rsid w:val="00B84821"/>
    <w:rsid w:val="00B84B4E"/>
    <w:rsid w:val="00B92B94"/>
    <w:rsid w:val="00B939FE"/>
    <w:rsid w:val="00B93F29"/>
    <w:rsid w:val="00B979F6"/>
    <w:rsid w:val="00BA248A"/>
    <w:rsid w:val="00BA2E1F"/>
    <w:rsid w:val="00BA62DC"/>
    <w:rsid w:val="00BA72C7"/>
    <w:rsid w:val="00BB0359"/>
    <w:rsid w:val="00BB3507"/>
    <w:rsid w:val="00BB6526"/>
    <w:rsid w:val="00BC07E4"/>
    <w:rsid w:val="00BC1D91"/>
    <w:rsid w:val="00BC5403"/>
    <w:rsid w:val="00BD0B51"/>
    <w:rsid w:val="00BD3687"/>
    <w:rsid w:val="00BD6287"/>
    <w:rsid w:val="00BD6C37"/>
    <w:rsid w:val="00BD7308"/>
    <w:rsid w:val="00BD7BCA"/>
    <w:rsid w:val="00BE012C"/>
    <w:rsid w:val="00BE4C75"/>
    <w:rsid w:val="00BE520C"/>
    <w:rsid w:val="00BE552A"/>
    <w:rsid w:val="00BF0223"/>
    <w:rsid w:val="00BF04C8"/>
    <w:rsid w:val="00BF071F"/>
    <w:rsid w:val="00BF3493"/>
    <w:rsid w:val="00BF3BF7"/>
    <w:rsid w:val="00BF6121"/>
    <w:rsid w:val="00BF7537"/>
    <w:rsid w:val="00C00B0C"/>
    <w:rsid w:val="00C01436"/>
    <w:rsid w:val="00C0204E"/>
    <w:rsid w:val="00C03AB8"/>
    <w:rsid w:val="00C06C1D"/>
    <w:rsid w:val="00C06CA8"/>
    <w:rsid w:val="00C10E8B"/>
    <w:rsid w:val="00C11236"/>
    <w:rsid w:val="00C209FB"/>
    <w:rsid w:val="00C22F5A"/>
    <w:rsid w:val="00C237FB"/>
    <w:rsid w:val="00C24F67"/>
    <w:rsid w:val="00C26A48"/>
    <w:rsid w:val="00C302F4"/>
    <w:rsid w:val="00C33ABA"/>
    <w:rsid w:val="00C37558"/>
    <w:rsid w:val="00C4038F"/>
    <w:rsid w:val="00C428AF"/>
    <w:rsid w:val="00C4293B"/>
    <w:rsid w:val="00C43307"/>
    <w:rsid w:val="00C47E63"/>
    <w:rsid w:val="00C54EB7"/>
    <w:rsid w:val="00C56DA0"/>
    <w:rsid w:val="00C57128"/>
    <w:rsid w:val="00C66AF6"/>
    <w:rsid w:val="00C716A6"/>
    <w:rsid w:val="00C724BD"/>
    <w:rsid w:val="00C72D17"/>
    <w:rsid w:val="00C74958"/>
    <w:rsid w:val="00C76F00"/>
    <w:rsid w:val="00C8096C"/>
    <w:rsid w:val="00C81095"/>
    <w:rsid w:val="00C837C4"/>
    <w:rsid w:val="00C85131"/>
    <w:rsid w:val="00C852FB"/>
    <w:rsid w:val="00C859E9"/>
    <w:rsid w:val="00C9004E"/>
    <w:rsid w:val="00C9031A"/>
    <w:rsid w:val="00CA4CAB"/>
    <w:rsid w:val="00CB0E9B"/>
    <w:rsid w:val="00CB1196"/>
    <w:rsid w:val="00CB65D5"/>
    <w:rsid w:val="00CC168A"/>
    <w:rsid w:val="00CC3244"/>
    <w:rsid w:val="00CC57DD"/>
    <w:rsid w:val="00CD09D4"/>
    <w:rsid w:val="00CD1172"/>
    <w:rsid w:val="00CD267F"/>
    <w:rsid w:val="00CD29D0"/>
    <w:rsid w:val="00CD2F52"/>
    <w:rsid w:val="00CD3A76"/>
    <w:rsid w:val="00CD4037"/>
    <w:rsid w:val="00CD5B23"/>
    <w:rsid w:val="00CE13FB"/>
    <w:rsid w:val="00CE231F"/>
    <w:rsid w:val="00CE37D6"/>
    <w:rsid w:val="00CE4339"/>
    <w:rsid w:val="00CE4896"/>
    <w:rsid w:val="00CE4D95"/>
    <w:rsid w:val="00CE63FA"/>
    <w:rsid w:val="00CE6F1D"/>
    <w:rsid w:val="00CE76BF"/>
    <w:rsid w:val="00CE7DE5"/>
    <w:rsid w:val="00CF004D"/>
    <w:rsid w:val="00CF03FC"/>
    <w:rsid w:val="00CF0B47"/>
    <w:rsid w:val="00D04026"/>
    <w:rsid w:val="00D04FBA"/>
    <w:rsid w:val="00D06D16"/>
    <w:rsid w:val="00D07484"/>
    <w:rsid w:val="00D111E0"/>
    <w:rsid w:val="00D141C8"/>
    <w:rsid w:val="00D14AB2"/>
    <w:rsid w:val="00D177ED"/>
    <w:rsid w:val="00D20101"/>
    <w:rsid w:val="00D20410"/>
    <w:rsid w:val="00D2052D"/>
    <w:rsid w:val="00D23952"/>
    <w:rsid w:val="00D23FB1"/>
    <w:rsid w:val="00D24368"/>
    <w:rsid w:val="00D24E5F"/>
    <w:rsid w:val="00D24FE1"/>
    <w:rsid w:val="00D25FC3"/>
    <w:rsid w:val="00D27B93"/>
    <w:rsid w:val="00D311F9"/>
    <w:rsid w:val="00D317A2"/>
    <w:rsid w:val="00D31814"/>
    <w:rsid w:val="00D32151"/>
    <w:rsid w:val="00D3228A"/>
    <w:rsid w:val="00D34AAD"/>
    <w:rsid w:val="00D3549C"/>
    <w:rsid w:val="00D35ADF"/>
    <w:rsid w:val="00D41287"/>
    <w:rsid w:val="00D43FE9"/>
    <w:rsid w:val="00D4724F"/>
    <w:rsid w:val="00D47C5A"/>
    <w:rsid w:val="00D50C48"/>
    <w:rsid w:val="00D52F3E"/>
    <w:rsid w:val="00D52FFD"/>
    <w:rsid w:val="00D53299"/>
    <w:rsid w:val="00D53F09"/>
    <w:rsid w:val="00D60CD3"/>
    <w:rsid w:val="00D63FFD"/>
    <w:rsid w:val="00D647B2"/>
    <w:rsid w:val="00D647F0"/>
    <w:rsid w:val="00D66EC2"/>
    <w:rsid w:val="00D66ED1"/>
    <w:rsid w:val="00D73B0C"/>
    <w:rsid w:val="00D75A57"/>
    <w:rsid w:val="00D75C67"/>
    <w:rsid w:val="00D77134"/>
    <w:rsid w:val="00D77E6B"/>
    <w:rsid w:val="00D77F94"/>
    <w:rsid w:val="00D90CFE"/>
    <w:rsid w:val="00D9338A"/>
    <w:rsid w:val="00DA12F7"/>
    <w:rsid w:val="00DA1F22"/>
    <w:rsid w:val="00DA2C5E"/>
    <w:rsid w:val="00DA502E"/>
    <w:rsid w:val="00DA5488"/>
    <w:rsid w:val="00DA575B"/>
    <w:rsid w:val="00DA675D"/>
    <w:rsid w:val="00DA7109"/>
    <w:rsid w:val="00DA744E"/>
    <w:rsid w:val="00DB009A"/>
    <w:rsid w:val="00DB168D"/>
    <w:rsid w:val="00DB4E49"/>
    <w:rsid w:val="00DB6B50"/>
    <w:rsid w:val="00DB78BD"/>
    <w:rsid w:val="00DB7AF4"/>
    <w:rsid w:val="00DC12DF"/>
    <w:rsid w:val="00DC21BF"/>
    <w:rsid w:val="00DC32AA"/>
    <w:rsid w:val="00DC3307"/>
    <w:rsid w:val="00DD00D3"/>
    <w:rsid w:val="00DD0162"/>
    <w:rsid w:val="00DD052F"/>
    <w:rsid w:val="00DD0A73"/>
    <w:rsid w:val="00DD17EA"/>
    <w:rsid w:val="00DD2566"/>
    <w:rsid w:val="00DD35C8"/>
    <w:rsid w:val="00DD373C"/>
    <w:rsid w:val="00DD3836"/>
    <w:rsid w:val="00DD58E4"/>
    <w:rsid w:val="00DD5B5E"/>
    <w:rsid w:val="00DD700F"/>
    <w:rsid w:val="00DE052D"/>
    <w:rsid w:val="00DE2586"/>
    <w:rsid w:val="00DE46DD"/>
    <w:rsid w:val="00DE4C6A"/>
    <w:rsid w:val="00DE513D"/>
    <w:rsid w:val="00DF16FD"/>
    <w:rsid w:val="00DF4D11"/>
    <w:rsid w:val="00DF6D47"/>
    <w:rsid w:val="00DF73F5"/>
    <w:rsid w:val="00E0035A"/>
    <w:rsid w:val="00E039D1"/>
    <w:rsid w:val="00E04718"/>
    <w:rsid w:val="00E04B84"/>
    <w:rsid w:val="00E05E17"/>
    <w:rsid w:val="00E064E2"/>
    <w:rsid w:val="00E124E5"/>
    <w:rsid w:val="00E13EFF"/>
    <w:rsid w:val="00E15654"/>
    <w:rsid w:val="00E1686D"/>
    <w:rsid w:val="00E17969"/>
    <w:rsid w:val="00E227B0"/>
    <w:rsid w:val="00E23149"/>
    <w:rsid w:val="00E23C57"/>
    <w:rsid w:val="00E2588A"/>
    <w:rsid w:val="00E26F05"/>
    <w:rsid w:val="00E30931"/>
    <w:rsid w:val="00E30FD0"/>
    <w:rsid w:val="00E31B2A"/>
    <w:rsid w:val="00E34429"/>
    <w:rsid w:val="00E34B7C"/>
    <w:rsid w:val="00E36DBA"/>
    <w:rsid w:val="00E37313"/>
    <w:rsid w:val="00E42628"/>
    <w:rsid w:val="00E4295F"/>
    <w:rsid w:val="00E43EE2"/>
    <w:rsid w:val="00E5020F"/>
    <w:rsid w:val="00E60B84"/>
    <w:rsid w:val="00E64253"/>
    <w:rsid w:val="00E64F7D"/>
    <w:rsid w:val="00E650CF"/>
    <w:rsid w:val="00E71B69"/>
    <w:rsid w:val="00E763BD"/>
    <w:rsid w:val="00E76CB6"/>
    <w:rsid w:val="00E809F5"/>
    <w:rsid w:val="00E812D1"/>
    <w:rsid w:val="00E850FA"/>
    <w:rsid w:val="00E853BF"/>
    <w:rsid w:val="00E9013F"/>
    <w:rsid w:val="00E93FBD"/>
    <w:rsid w:val="00E958F0"/>
    <w:rsid w:val="00E95AE3"/>
    <w:rsid w:val="00E95B4E"/>
    <w:rsid w:val="00E97118"/>
    <w:rsid w:val="00EA3B56"/>
    <w:rsid w:val="00EA3D9F"/>
    <w:rsid w:val="00EA7BAA"/>
    <w:rsid w:val="00EB03F8"/>
    <w:rsid w:val="00EB09E1"/>
    <w:rsid w:val="00EB322C"/>
    <w:rsid w:val="00EB466B"/>
    <w:rsid w:val="00EB59AF"/>
    <w:rsid w:val="00EB5AC9"/>
    <w:rsid w:val="00EB7156"/>
    <w:rsid w:val="00EC5828"/>
    <w:rsid w:val="00ED0B2B"/>
    <w:rsid w:val="00ED239D"/>
    <w:rsid w:val="00ED5963"/>
    <w:rsid w:val="00ED76D8"/>
    <w:rsid w:val="00EE107A"/>
    <w:rsid w:val="00EE1611"/>
    <w:rsid w:val="00EE1A54"/>
    <w:rsid w:val="00EE23E7"/>
    <w:rsid w:val="00EE2C4A"/>
    <w:rsid w:val="00EE57B0"/>
    <w:rsid w:val="00EE57BF"/>
    <w:rsid w:val="00EE5AF1"/>
    <w:rsid w:val="00EE5D63"/>
    <w:rsid w:val="00EE7606"/>
    <w:rsid w:val="00EF1AA6"/>
    <w:rsid w:val="00EF34FB"/>
    <w:rsid w:val="00EF6073"/>
    <w:rsid w:val="00F03129"/>
    <w:rsid w:val="00F038D9"/>
    <w:rsid w:val="00F047ED"/>
    <w:rsid w:val="00F04A15"/>
    <w:rsid w:val="00F04A75"/>
    <w:rsid w:val="00F05E31"/>
    <w:rsid w:val="00F06B3F"/>
    <w:rsid w:val="00F10CC1"/>
    <w:rsid w:val="00F13490"/>
    <w:rsid w:val="00F14113"/>
    <w:rsid w:val="00F15F12"/>
    <w:rsid w:val="00F1726A"/>
    <w:rsid w:val="00F17508"/>
    <w:rsid w:val="00F20202"/>
    <w:rsid w:val="00F21B4A"/>
    <w:rsid w:val="00F21FB7"/>
    <w:rsid w:val="00F225F1"/>
    <w:rsid w:val="00F239B3"/>
    <w:rsid w:val="00F25206"/>
    <w:rsid w:val="00F47859"/>
    <w:rsid w:val="00F5144D"/>
    <w:rsid w:val="00F530FB"/>
    <w:rsid w:val="00F57E38"/>
    <w:rsid w:val="00F64C25"/>
    <w:rsid w:val="00F67C4B"/>
    <w:rsid w:val="00F71161"/>
    <w:rsid w:val="00F73BE7"/>
    <w:rsid w:val="00F74296"/>
    <w:rsid w:val="00F77081"/>
    <w:rsid w:val="00F77969"/>
    <w:rsid w:val="00F77C03"/>
    <w:rsid w:val="00F80CE7"/>
    <w:rsid w:val="00F84415"/>
    <w:rsid w:val="00F847E3"/>
    <w:rsid w:val="00F86D6C"/>
    <w:rsid w:val="00F9345E"/>
    <w:rsid w:val="00F93BE4"/>
    <w:rsid w:val="00F9474A"/>
    <w:rsid w:val="00F95B2C"/>
    <w:rsid w:val="00F96719"/>
    <w:rsid w:val="00FA0D3C"/>
    <w:rsid w:val="00FA11AC"/>
    <w:rsid w:val="00FA1FB0"/>
    <w:rsid w:val="00FA5ACF"/>
    <w:rsid w:val="00FA6FF3"/>
    <w:rsid w:val="00FB0D74"/>
    <w:rsid w:val="00FB1C7C"/>
    <w:rsid w:val="00FB3362"/>
    <w:rsid w:val="00FB342B"/>
    <w:rsid w:val="00FB5818"/>
    <w:rsid w:val="00FB5F76"/>
    <w:rsid w:val="00FB635E"/>
    <w:rsid w:val="00FC2116"/>
    <w:rsid w:val="00FC3EE3"/>
    <w:rsid w:val="00FC5CC3"/>
    <w:rsid w:val="00FD06DF"/>
    <w:rsid w:val="00FD6854"/>
    <w:rsid w:val="00FD7087"/>
    <w:rsid w:val="00FD7C0F"/>
    <w:rsid w:val="00FD7FEE"/>
    <w:rsid w:val="00FE0881"/>
    <w:rsid w:val="00FE0A87"/>
    <w:rsid w:val="00FE0F33"/>
    <w:rsid w:val="00FE206B"/>
    <w:rsid w:val="00FE4EFC"/>
    <w:rsid w:val="00FE52E0"/>
    <w:rsid w:val="00FE5A3C"/>
    <w:rsid w:val="00FE772E"/>
    <w:rsid w:val="00FE7757"/>
    <w:rsid w:val="00FF0703"/>
    <w:rsid w:val="00FF0BEE"/>
    <w:rsid w:val="00FF459D"/>
    <w:rsid w:val="00FF497A"/>
    <w:rsid w:val="00FF4B04"/>
    <w:rsid w:val="00FF648A"/>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F52C"/>
  <w15:chartTrackingRefBased/>
  <w15:docId w15:val="{92D0AF2E-1050-4FA3-9EEA-281E3068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08"/>
    <w:pPr>
      <w:spacing w:after="240" w:line="480" w:lineRule="auto"/>
    </w:pPr>
    <w:rPr>
      <w:rFonts w:ascii="Arial" w:hAnsi="Arial" w:cs="Times New Roman"/>
      <w:sz w:val="24"/>
    </w:rPr>
  </w:style>
  <w:style w:type="paragraph" w:styleId="Heading1">
    <w:name w:val="heading 1"/>
    <w:basedOn w:val="Normal"/>
    <w:next w:val="Normal"/>
    <w:link w:val="Heading1Char"/>
    <w:uiPriority w:val="9"/>
    <w:qFormat/>
    <w:rsid w:val="00F17508"/>
    <w:pPr>
      <w:keepNext/>
      <w:keepLines/>
      <w:spacing w:before="480" w:after="120"/>
      <w:outlineLvl w:val="0"/>
    </w:pPr>
    <w:rPr>
      <w:rFonts w:eastAsiaTheme="majorEastAsia" w:cstheme="majorBidi"/>
      <w:b/>
      <w:sz w:val="28"/>
      <w:szCs w:val="32"/>
    </w:rPr>
  </w:style>
  <w:style w:type="paragraph" w:styleId="Heading2">
    <w:name w:val="heading 2"/>
    <w:basedOn w:val="Normal"/>
    <w:link w:val="Heading2Char"/>
    <w:uiPriority w:val="9"/>
    <w:qFormat/>
    <w:rsid w:val="00C24F67"/>
    <w:pPr>
      <w:keepNext/>
      <w:spacing w:before="480" w:after="100" w:afterAutospacing="1" w:line="240" w:lineRule="auto"/>
      <w:outlineLvl w:val="1"/>
    </w:pPr>
    <w:rPr>
      <w:rFonts w:eastAsia="Times New Roman"/>
      <w:b/>
      <w:bCs/>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7508"/>
    <w:pPr>
      <w:spacing w:after="120" w:line="240" w:lineRule="auto"/>
    </w:pPr>
    <w:rPr>
      <w:rFonts w:eastAsiaTheme="minorEastAsia"/>
      <w:sz w:val="22"/>
      <w:szCs w:val="20"/>
      <w:lang w:val="en-CA"/>
    </w:rPr>
  </w:style>
  <w:style w:type="character" w:customStyle="1" w:styleId="FootnoteTextChar">
    <w:name w:val="Footnote Text Char"/>
    <w:basedOn w:val="DefaultParagraphFont"/>
    <w:link w:val="FootnoteText"/>
    <w:uiPriority w:val="99"/>
    <w:rsid w:val="00F17508"/>
    <w:rPr>
      <w:rFonts w:ascii="Arial" w:eastAsiaTheme="minorEastAsia" w:hAnsi="Arial" w:cs="Times New Roman"/>
      <w:szCs w:val="20"/>
      <w:lang w:val="en-CA"/>
    </w:rPr>
  </w:style>
  <w:style w:type="paragraph" w:styleId="ListParagraph">
    <w:name w:val="List Paragraph"/>
    <w:basedOn w:val="Normal"/>
    <w:uiPriority w:val="34"/>
    <w:qFormat/>
    <w:rsid w:val="004B7E01"/>
    <w:pPr>
      <w:ind w:left="720"/>
      <w:contextualSpacing/>
    </w:pPr>
  </w:style>
  <w:style w:type="character" w:styleId="Hyperlink">
    <w:name w:val="Hyperlink"/>
    <w:basedOn w:val="DefaultParagraphFont"/>
    <w:uiPriority w:val="99"/>
    <w:unhideWhenUsed/>
    <w:rsid w:val="002216D6"/>
    <w:rPr>
      <w:color w:val="0000FF"/>
      <w:u w:val="single"/>
    </w:rPr>
  </w:style>
  <w:style w:type="paragraph" w:styleId="Footer">
    <w:name w:val="footer"/>
    <w:basedOn w:val="Normal"/>
    <w:link w:val="FooterChar"/>
    <w:uiPriority w:val="99"/>
    <w:rsid w:val="0042457D"/>
    <w:pPr>
      <w:tabs>
        <w:tab w:val="center" w:pos="4320"/>
        <w:tab w:val="right" w:pos="8640"/>
      </w:tabs>
      <w:spacing w:after="120" w:line="240" w:lineRule="auto"/>
    </w:pPr>
    <w:rPr>
      <w:rFonts w:eastAsiaTheme="minorEastAsia"/>
      <w:snapToGrid w:val="0"/>
      <w:sz w:val="22"/>
      <w:szCs w:val="24"/>
      <w:lang w:val="en-CA"/>
    </w:rPr>
  </w:style>
  <w:style w:type="character" w:customStyle="1" w:styleId="FooterChar">
    <w:name w:val="Footer Char"/>
    <w:basedOn w:val="DefaultParagraphFont"/>
    <w:link w:val="Footer"/>
    <w:uiPriority w:val="99"/>
    <w:rsid w:val="0042457D"/>
    <w:rPr>
      <w:rFonts w:ascii="Times New Roman" w:eastAsiaTheme="minorEastAsia" w:hAnsi="Times New Roman" w:cs="Times New Roman"/>
      <w:snapToGrid w:val="0"/>
      <w:szCs w:val="24"/>
      <w:lang w:val="en-CA"/>
    </w:rPr>
  </w:style>
  <w:style w:type="paragraph" w:customStyle="1" w:styleId="ACLParaOutlineNumL1">
    <w:name w:val="ACL Para Outline Num L1"/>
    <w:basedOn w:val="Normal"/>
    <w:link w:val="ACLParaOutlineNumL1Char"/>
    <w:uiPriority w:val="99"/>
    <w:rsid w:val="0042457D"/>
    <w:pPr>
      <w:numPr>
        <w:numId w:val="7"/>
      </w:numPr>
      <w:outlineLvl w:val="0"/>
    </w:pPr>
    <w:rPr>
      <w:rFonts w:eastAsiaTheme="minorEastAsia"/>
      <w:snapToGrid w:val="0"/>
      <w:szCs w:val="24"/>
      <w:lang w:val="en-CA"/>
    </w:rPr>
  </w:style>
  <w:style w:type="paragraph" w:customStyle="1" w:styleId="ACLParaOutlineNumL2">
    <w:name w:val="ACL Para Outline Num L2"/>
    <w:basedOn w:val="Normal"/>
    <w:uiPriority w:val="99"/>
    <w:rsid w:val="0042457D"/>
    <w:pPr>
      <w:numPr>
        <w:ilvl w:val="1"/>
        <w:numId w:val="7"/>
      </w:numPr>
      <w:outlineLvl w:val="1"/>
    </w:pPr>
    <w:rPr>
      <w:rFonts w:eastAsiaTheme="minorEastAsia"/>
      <w:snapToGrid w:val="0"/>
      <w:szCs w:val="24"/>
      <w:lang w:val="en-CA"/>
    </w:rPr>
  </w:style>
  <w:style w:type="paragraph" w:customStyle="1" w:styleId="ACLParaOutlineNumL3">
    <w:name w:val="ACL Para Outline Num L3"/>
    <w:basedOn w:val="Normal"/>
    <w:uiPriority w:val="99"/>
    <w:rsid w:val="0042457D"/>
    <w:pPr>
      <w:numPr>
        <w:ilvl w:val="2"/>
        <w:numId w:val="7"/>
      </w:numPr>
      <w:outlineLvl w:val="2"/>
    </w:pPr>
    <w:rPr>
      <w:rFonts w:eastAsiaTheme="minorEastAsia"/>
      <w:snapToGrid w:val="0"/>
      <w:szCs w:val="24"/>
      <w:lang w:val="en-CA"/>
    </w:rPr>
  </w:style>
  <w:style w:type="paragraph" w:customStyle="1" w:styleId="ACLParaOutlineNumL4">
    <w:name w:val="ACL Para Outline Num L4"/>
    <w:basedOn w:val="Normal"/>
    <w:rsid w:val="0042457D"/>
    <w:pPr>
      <w:numPr>
        <w:ilvl w:val="3"/>
        <w:numId w:val="7"/>
      </w:numPr>
      <w:outlineLvl w:val="3"/>
    </w:pPr>
    <w:rPr>
      <w:rFonts w:eastAsiaTheme="minorEastAsia"/>
      <w:snapToGrid w:val="0"/>
      <w:szCs w:val="24"/>
      <w:lang w:val="en-CA"/>
    </w:rPr>
  </w:style>
  <w:style w:type="paragraph" w:customStyle="1" w:styleId="ACLParaOutlineNumL5">
    <w:name w:val="ACL Para Outline Num L5"/>
    <w:basedOn w:val="Normal"/>
    <w:uiPriority w:val="99"/>
    <w:rsid w:val="0042457D"/>
    <w:pPr>
      <w:numPr>
        <w:ilvl w:val="4"/>
        <w:numId w:val="7"/>
      </w:numPr>
      <w:outlineLvl w:val="4"/>
    </w:pPr>
    <w:rPr>
      <w:rFonts w:eastAsiaTheme="minorEastAsia"/>
      <w:snapToGrid w:val="0"/>
      <w:szCs w:val="24"/>
      <w:lang w:val="en-CA"/>
    </w:rPr>
  </w:style>
  <w:style w:type="character" w:styleId="FootnoteReference">
    <w:name w:val="footnote reference"/>
    <w:basedOn w:val="DefaultParagraphFont"/>
    <w:uiPriority w:val="99"/>
    <w:semiHidden/>
    <w:unhideWhenUsed/>
    <w:rsid w:val="0042457D"/>
    <w:rPr>
      <w:vertAlign w:val="superscript"/>
    </w:rPr>
  </w:style>
  <w:style w:type="character" w:customStyle="1" w:styleId="ACLParaOutlineNumL1Char">
    <w:name w:val="ACL Para Outline Num L1 Char"/>
    <w:basedOn w:val="DefaultParagraphFont"/>
    <w:link w:val="ACLParaOutlineNumL1"/>
    <w:uiPriority w:val="99"/>
    <w:rsid w:val="0042457D"/>
    <w:rPr>
      <w:rFonts w:ascii="Times New Roman" w:eastAsiaTheme="minorEastAsia" w:hAnsi="Times New Roman" w:cs="Times New Roman"/>
      <w:snapToGrid w:val="0"/>
      <w:sz w:val="24"/>
      <w:szCs w:val="24"/>
      <w:lang w:val="en-CA"/>
    </w:rPr>
  </w:style>
  <w:style w:type="paragraph" w:customStyle="1" w:styleId="ACLParaOutlineNumSglL6">
    <w:name w:val="ACL Para Outline Num Sgl L6"/>
    <w:basedOn w:val="Normal"/>
    <w:uiPriority w:val="99"/>
    <w:rsid w:val="009062DE"/>
    <w:pPr>
      <w:tabs>
        <w:tab w:val="num" w:pos="4320"/>
      </w:tabs>
      <w:spacing w:line="240" w:lineRule="auto"/>
      <w:ind w:left="4320" w:hanging="720"/>
      <w:jc w:val="both"/>
      <w:outlineLvl w:val="5"/>
    </w:pPr>
    <w:rPr>
      <w:rFonts w:eastAsiaTheme="minorEastAsia"/>
      <w:szCs w:val="24"/>
      <w:lang w:val="en-CA"/>
    </w:rPr>
  </w:style>
  <w:style w:type="paragraph" w:customStyle="1" w:styleId="ACLParaOutlineNumSglL7">
    <w:name w:val="ACL Para Outline Num Sgl L7"/>
    <w:basedOn w:val="Normal"/>
    <w:uiPriority w:val="99"/>
    <w:rsid w:val="009062DE"/>
    <w:pPr>
      <w:tabs>
        <w:tab w:val="num" w:pos="5040"/>
      </w:tabs>
      <w:spacing w:line="240" w:lineRule="auto"/>
      <w:ind w:left="5040" w:hanging="720"/>
      <w:jc w:val="both"/>
      <w:outlineLvl w:val="6"/>
    </w:pPr>
    <w:rPr>
      <w:rFonts w:eastAsiaTheme="minorEastAsia"/>
      <w:szCs w:val="24"/>
      <w:lang w:val="en-CA"/>
    </w:rPr>
  </w:style>
  <w:style w:type="paragraph" w:customStyle="1" w:styleId="ACLParaOutlineNumSglL8">
    <w:name w:val="ACL Para Outline Num Sgl L8"/>
    <w:basedOn w:val="Normal"/>
    <w:uiPriority w:val="99"/>
    <w:rsid w:val="009062DE"/>
    <w:pPr>
      <w:tabs>
        <w:tab w:val="num" w:pos="5760"/>
      </w:tabs>
      <w:spacing w:line="240" w:lineRule="auto"/>
      <w:ind w:left="5760" w:hanging="720"/>
      <w:jc w:val="both"/>
      <w:outlineLvl w:val="7"/>
    </w:pPr>
    <w:rPr>
      <w:rFonts w:eastAsiaTheme="minorEastAsia"/>
      <w:szCs w:val="24"/>
      <w:lang w:val="en-CA"/>
    </w:rPr>
  </w:style>
  <w:style w:type="character" w:customStyle="1" w:styleId="Heading2Char">
    <w:name w:val="Heading 2 Char"/>
    <w:basedOn w:val="DefaultParagraphFont"/>
    <w:link w:val="Heading2"/>
    <w:uiPriority w:val="9"/>
    <w:rsid w:val="00C24F67"/>
    <w:rPr>
      <w:rFonts w:ascii="Arial" w:eastAsia="Times New Roman" w:hAnsi="Arial" w:cs="Times New Roman"/>
      <w:b/>
      <w:bCs/>
      <w:sz w:val="24"/>
      <w:szCs w:val="36"/>
      <w:lang w:val="en-CA" w:eastAsia="en-CA"/>
    </w:rPr>
  </w:style>
  <w:style w:type="character" w:customStyle="1" w:styleId="Heading1Char">
    <w:name w:val="Heading 1 Char"/>
    <w:basedOn w:val="DefaultParagraphFont"/>
    <w:link w:val="Heading1"/>
    <w:uiPriority w:val="9"/>
    <w:rsid w:val="00F17508"/>
    <w:rPr>
      <w:rFonts w:ascii="Arial" w:eastAsiaTheme="majorEastAsia" w:hAnsi="Arial" w:cstheme="majorBidi"/>
      <w:b/>
      <w:sz w:val="28"/>
      <w:szCs w:val="32"/>
    </w:rPr>
  </w:style>
  <w:style w:type="paragraph" w:customStyle="1" w:styleId="Default">
    <w:name w:val="Default"/>
    <w:rsid w:val="0084083F"/>
    <w:pPr>
      <w:autoSpaceDE w:val="0"/>
      <w:autoSpaceDN w:val="0"/>
      <w:adjustRightInd w:val="0"/>
      <w:spacing w:after="0" w:line="240" w:lineRule="auto"/>
    </w:pPr>
    <w:rPr>
      <w:rFonts w:ascii="Arial" w:hAnsi="Arial" w:cs="Arial"/>
      <w:color w:val="000000"/>
      <w:sz w:val="24"/>
      <w:szCs w:val="24"/>
      <w:lang w:val="en-CA"/>
    </w:rPr>
  </w:style>
  <w:style w:type="paragraph" w:styleId="Subtitle">
    <w:name w:val="Subtitle"/>
    <w:basedOn w:val="Normal"/>
    <w:next w:val="Normal"/>
    <w:link w:val="SubtitleChar"/>
    <w:uiPriority w:val="11"/>
    <w:qFormat/>
    <w:rsid w:val="00F17508"/>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F17508"/>
    <w:rPr>
      <w:rFonts w:ascii="Arial" w:eastAsiaTheme="minorEastAsia" w:hAnsi="Arial"/>
      <w:spacing w:val="15"/>
      <w:sz w:val="24"/>
    </w:rPr>
  </w:style>
  <w:style w:type="paragraph" w:customStyle="1" w:styleId="mainparagraph">
    <w:name w:val="mainparagraph"/>
    <w:basedOn w:val="Normal"/>
    <w:rsid w:val="0063534E"/>
    <w:pPr>
      <w:spacing w:before="100" w:beforeAutospacing="1" w:after="100" w:afterAutospacing="1" w:line="240" w:lineRule="auto"/>
    </w:pPr>
    <w:rPr>
      <w:rFonts w:ascii="Times New Roman" w:eastAsia="Times New Roman" w:hAnsi="Times New Roman"/>
      <w:szCs w:val="24"/>
      <w:lang w:val="en-CA" w:eastAsia="en-CA"/>
    </w:rPr>
  </w:style>
  <w:style w:type="paragraph" w:styleId="Quote">
    <w:name w:val="Quote"/>
    <w:basedOn w:val="Normal"/>
    <w:next w:val="Normal"/>
    <w:link w:val="QuoteChar"/>
    <w:uiPriority w:val="29"/>
    <w:qFormat/>
    <w:rsid w:val="0007314D"/>
    <w:pPr>
      <w:spacing w:before="200" w:after="360" w:line="240" w:lineRule="auto"/>
      <w:ind w:left="862" w:right="862"/>
    </w:pPr>
    <w:rPr>
      <w:iCs/>
    </w:rPr>
  </w:style>
  <w:style w:type="character" w:customStyle="1" w:styleId="QuoteChar">
    <w:name w:val="Quote Char"/>
    <w:basedOn w:val="DefaultParagraphFont"/>
    <w:link w:val="Quote"/>
    <w:uiPriority w:val="29"/>
    <w:rsid w:val="0007314D"/>
    <w:rPr>
      <w:rFonts w:ascii="Arial" w:hAnsi="Arial" w:cs="Times New Roman"/>
      <w:iCs/>
      <w:sz w:val="24"/>
    </w:rPr>
  </w:style>
  <w:style w:type="paragraph" w:customStyle="1" w:styleId="paraa">
    <w:name w:val="paraa"/>
    <w:basedOn w:val="Normal"/>
    <w:rsid w:val="00020151"/>
    <w:pPr>
      <w:spacing w:before="100" w:beforeAutospacing="1" w:after="100" w:afterAutospacing="1" w:line="240" w:lineRule="auto"/>
    </w:pPr>
    <w:rPr>
      <w:rFonts w:ascii="Times New Roman" w:eastAsiaTheme="minorEastAsia" w:hAnsi="Times New Roman"/>
      <w:szCs w:val="24"/>
      <w:lang w:val="en-CA"/>
    </w:rPr>
  </w:style>
  <w:style w:type="character" w:customStyle="1" w:styleId="apple-converted-space">
    <w:name w:val="apple-converted-space"/>
    <w:basedOn w:val="DefaultParagraphFont"/>
    <w:rsid w:val="00020151"/>
  </w:style>
  <w:style w:type="character" w:styleId="FollowedHyperlink">
    <w:name w:val="FollowedHyperlink"/>
    <w:basedOn w:val="DefaultParagraphFont"/>
    <w:uiPriority w:val="99"/>
    <w:semiHidden/>
    <w:unhideWhenUsed/>
    <w:rsid w:val="0056313D"/>
    <w:rPr>
      <w:color w:val="800080" w:themeColor="followedHyperlink"/>
      <w:u w:val="single"/>
    </w:rPr>
  </w:style>
  <w:style w:type="paragraph" w:styleId="Header">
    <w:name w:val="header"/>
    <w:basedOn w:val="Normal"/>
    <w:link w:val="HeaderChar"/>
    <w:uiPriority w:val="99"/>
    <w:unhideWhenUsed/>
    <w:rsid w:val="004E7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803"/>
    <w:rPr>
      <w:rFonts w:ascii="Arial" w:hAnsi="Arial" w:cs="Times New Roman"/>
      <w:sz w:val="24"/>
    </w:rPr>
  </w:style>
  <w:style w:type="paragraph" w:styleId="BalloonText">
    <w:name w:val="Balloon Text"/>
    <w:basedOn w:val="Normal"/>
    <w:link w:val="BalloonTextChar"/>
    <w:uiPriority w:val="99"/>
    <w:semiHidden/>
    <w:unhideWhenUsed/>
    <w:rsid w:val="000C1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D26"/>
    <w:rPr>
      <w:rFonts w:ascii="Segoe UI" w:hAnsi="Segoe UI" w:cs="Segoe UI"/>
      <w:sz w:val="18"/>
      <w:szCs w:val="18"/>
    </w:rPr>
  </w:style>
  <w:style w:type="character" w:styleId="CommentReference">
    <w:name w:val="annotation reference"/>
    <w:basedOn w:val="DefaultParagraphFont"/>
    <w:uiPriority w:val="99"/>
    <w:semiHidden/>
    <w:unhideWhenUsed/>
    <w:rsid w:val="004A5D95"/>
    <w:rPr>
      <w:sz w:val="16"/>
      <w:szCs w:val="16"/>
    </w:rPr>
  </w:style>
  <w:style w:type="paragraph" w:styleId="CommentText">
    <w:name w:val="annotation text"/>
    <w:basedOn w:val="Normal"/>
    <w:link w:val="CommentTextChar"/>
    <w:uiPriority w:val="99"/>
    <w:semiHidden/>
    <w:unhideWhenUsed/>
    <w:rsid w:val="004A5D95"/>
    <w:pPr>
      <w:spacing w:line="240" w:lineRule="auto"/>
    </w:pPr>
    <w:rPr>
      <w:sz w:val="20"/>
      <w:szCs w:val="20"/>
    </w:rPr>
  </w:style>
  <w:style w:type="character" w:customStyle="1" w:styleId="CommentTextChar">
    <w:name w:val="Comment Text Char"/>
    <w:basedOn w:val="DefaultParagraphFont"/>
    <w:link w:val="CommentText"/>
    <w:uiPriority w:val="99"/>
    <w:semiHidden/>
    <w:rsid w:val="004A5D9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A5D95"/>
    <w:rPr>
      <w:b/>
      <w:bCs/>
    </w:rPr>
  </w:style>
  <w:style w:type="character" w:customStyle="1" w:styleId="CommentSubjectChar">
    <w:name w:val="Comment Subject Char"/>
    <w:basedOn w:val="CommentTextChar"/>
    <w:link w:val="CommentSubject"/>
    <w:uiPriority w:val="99"/>
    <w:semiHidden/>
    <w:rsid w:val="004A5D95"/>
    <w:rPr>
      <w:rFonts w:ascii="Arial" w:hAnsi="Arial" w:cs="Times New Roman"/>
      <w:b/>
      <w:bCs/>
      <w:sz w:val="20"/>
      <w:szCs w:val="20"/>
    </w:rPr>
  </w:style>
  <w:style w:type="character" w:styleId="Emphasis">
    <w:name w:val="Emphasis"/>
    <w:basedOn w:val="DefaultParagraphFont"/>
    <w:uiPriority w:val="20"/>
    <w:qFormat/>
    <w:rsid w:val="00077243"/>
    <w:rPr>
      <w:i/>
      <w:iCs/>
    </w:rPr>
  </w:style>
  <w:style w:type="character" w:customStyle="1" w:styleId="reflex3-block">
    <w:name w:val="reflex3-block"/>
    <w:basedOn w:val="DefaultParagraphFont"/>
    <w:rsid w:val="00920115"/>
  </w:style>
  <w:style w:type="paragraph" w:customStyle="1" w:styleId="ACLCitation">
    <w:name w:val="ACL Citation"/>
    <w:basedOn w:val="Normal"/>
    <w:uiPriority w:val="99"/>
    <w:rsid w:val="00CE4339"/>
    <w:pPr>
      <w:spacing w:after="360" w:line="240" w:lineRule="auto"/>
      <w:ind w:left="1440" w:right="1440"/>
    </w:pPr>
    <w:rPr>
      <w:rFonts w:ascii="Times New Roman" w:eastAsiaTheme="minorEastAsia" w:hAnsi="Times New Roman"/>
      <w:snapToGrid w:val="0"/>
      <w:sz w:val="22"/>
      <w:szCs w:val="24"/>
      <w:lang w:val="en-CA"/>
    </w:rPr>
  </w:style>
  <w:style w:type="paragraph" w:styleId="TOCHeading">
    <w:name w:val="TOC Heading"/>
    <w:basedOn w:val="Heading1"/>
    <w:next w:val="Normal"/>
    <w:uiPriority w:val="39"/>
    <w:unhideWhenUsed/>
    <w:qFormat/>
    <w:rsid w:val="002571A9"/>
    <w:pPr>
      <w:spacing w:before="240" w:after="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2571A9"/>
    <w:pPr>
      <w:spacing w:after="100"/>
    </w:pPr>
  </w:style>
  <w:style w:type="paragraph" w:styleId="TOC2">
    <w:name w:val="toc 2"/>
    <w:basedOn w:val="Normal"/>
    <w:next w:val="Normal"/>
    <w:autoRedefine/>
    <w:uiPriority w:val="39"/>
    <w:unhideWhenUsed/>
    <w:rsid w:val="002571A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5289">
      <w:bodyDiv w:val="1"/>
      <w:marLeft w:val="0"/>
      <w:marRight w:val="0"/>
      <w:marTop w:val="0"/>
      <w:marBottom w:val="0"/>
      <w:divBdr>
        <w:top w:val="none" w:sz="0" w:space="0" w:color="auto"/>
        <w:left w:val="none" w:sz="0" w:space="0" w:color="auto"/>
        <w:bottom w:val="none" w:sz="0" w:space="0" w:color="auto"/>
        <w:right w:val="none" w:sz="0" w:space="0" w:color="auto"/>
      </w:divBdr>
    </w:div>
    <w:div w:id="284047092">
      <w:bodyDiv w:val="1"/>
      <w:marLeft w:val="0"/>
      <w:marRight w:val="0"/>
      <w:marTop w:val="0"/>
      <w:marBottom w:val="0"/>
      <w:divBdr>
        <w:top w:val="none" w:sz="0" w:space="0" w:color="auto"/>
        <w:left w:val="none" w:sz="0" w:space="0" w:color="auto"/>
        <w:bottom w:val="none" w:sz="0" w:space="0" w:color="auto"/>
        <w:right w:val="none" w:sz="0" w:space="0" w:color="auto"/>
      </w:divBdr>
    </w:div>
    <w:div w:id="311101919">
      <w:bodyDiv w:val="1"/>
      <w:marLeft w:val="0"/>
      <w:marRight w:val="0"/>
      <w:marTop w:val="0"/>
      <w:marBottom w:val="0"/>
      <w:divBdr>
        <w:top w:val="none" w:sz="0" w:space="0" w:color="auto"/>
        <w:left w:val="none" w:sz="0" w:space="0" w:color="auto"/>
        <w:bottom w:val="none" w:sz="0" w:space="0" w:color="auto"/>
        <w:right w:val="none" w:sz="0" w:space="0" w:color="auto"/>
      </w:divBdr>
    </w:div>
    <w:div w:id="580650367">
      <w:bodyDiv w:val="1"/>
      <w:marLeft w:val="0"/>
      <w:marRight w:val="0"/>
      <w:marTop w:val="0"/>
      <w:marBottom w:val="0"/>
      <w:divBdr>
        <w:top w:val="none" w:sz="0" w:space="0" w:color="auto"/>
        <w:left w:val="none" w:sz="0" w:space="0" w:color="auto"/>
        <w:bottom w:val="none" w:sz="0" w:space="0" w:color="auto"/>
        <w:right w:val="none" w:sz="0" w:space="0" w:color="auto"/>
      </w:divBdr>
    </w:div>
    <w:div w:id="697392801">
      <w:bodyDiv w:val="1"/>
      <w:marLeft w:val="0"/>
      <w:marRight w:val="0"/>
      <w:marTop w:val="0"/>
      <w:marBottom w:val="0"/>
      <w:divBdr>
        <w:top w:val="none" w:sz="0" w:space="0" w:color="auto"/>
        <w:left w:val="none" w:sz="0" w:space="0" w:color="auto"/>
        <w:bottom w:val="none" w:sz="0" w:space="0" w:color="auto"/>
        <w:right w:val="none" w:sz="0" w:space="0" w:color="auto"/>
      </w:divBdr>
    </w:div>
    <w:div w:id="868225238">
      <w:bodyDiv w:val="1"/>
      <w:marLeft w:val="0"/>
      <w:marRight w:val="0"/>
      <w:marTop w:val="0"/>
      <w:marBottom w:val="0"/>
      <w:divBdr>
        <w:top w:val="none" w:sz="0" w:space="0" w:color="auto"/>
        <w:left w:val="none" w:sz="0" w:space="0" w:color="auto"/>
        <w:bottom w:val="none" w:sz="0" w:space="0" w:color="auto"/>
        <w:right w:val="none" w:sz="0" w:space="0" w:color="auto"/>
      </w:divBdr>
    </w:div>
    <w:div w:id="934242801">
      <w:bodyDiv w:val="1"/>
      <w:marLeft w:val="0"/>
      <w:marRight w:val="0"/>
      <w:marTop w:val="0"/>
      <w:marBottom w:val="0"/>
      <w:divBdr>
        <w:top w:val="none" w:sz="0" w:space="0" w:color="auto"/>
        <w:left w:val="none" w:sz="0" w:space="0" w:color="auto"/>
        <w:bottom w:val="none" w:sz="0" w:space="0" w:color="auto"/>
        <w:right w:val="none" w:sz="0" w:space="0" w:color="auto"/>
      </w:divBdr>
    </w:div>
    <w:div w:id="1052272460">
      <w:bodyDiv w:val="1"/>
      <w:marLeft w:val="0"/>
      <w:marRight w:val="0"/>
      <w:marTop w:val="0"/>
      <w:marBottom w:val="0"/>
      <w:divBdr>
        <w:top w:val="none" w:sz="0" w:space="0" w:color="auto"/>
        <w:left w:val="none" w:sz="0" w:space="0" w:color="auto"/>
        <w:bottom w:val="none" w:sz="0" w:space="0" w:color="auto"/>
        <w:right w:val="none" w:sz="0" w:space="0" w:color="auto"/>
      </w:divBdr>
    </w:div>
    <w:div w:id="1070732256">
      <w:bodyDiv w:val="1"/>
      <w:marLeft w:val="0"/>
      <w:marRight w:val="0"/>
      <w:marTop w:val="0"/>
      <w:marBottom w:val="0"/>
      <w:divBdr>
        <w:top w:val="none" w:sz="0" w:space="0" w:color="auto"/>
        <w:left w:val="none" w:sz="0" w:space="0" w:color="auto"/>
        <w:bottom w:val="none" w:sz="0" w:space="0" w:color="auto"/>
        <w:right w:val="none" w:sz="0" w:space="0" w:color="auto"/>
      </w:divBdr>
    </w:div>
    <w:div w:id="1095318870">
      <w:bodyDiv w:val="1"/>
      <w:marLeft w:val="0"/>
      <w:marRight w:val="0"/>
      <w:marTop w:val="0"/>
      <w:marBottom w:val="0"/>
      <w:divBdr>
        <w:top w:val="none" w:sz="0" w:space="0" w:color="auto"/>
        <w:left w:val="none" w:sz="0" w:space="0" w:color="auto"/>
        <w:bottom w:val="none" w:sz="0" w:space="0" w:color="auto"/>
        <w:right w:val="none" w:sz="0" w:space="0" w:color="auto"/>
      </w:divBdr>
    </w:div>
    <w:div w:id="1129513506">
      <w:bodyDiv w:val="1"/>
      <w:marLeft w:val="0"/>
      <w:marRight w:val="0"/>
      <w:marTop w:val="0"/>
      <w:marBottom w:val="0"/>
      <w:divBdr>
        <w:top w:val="none" w:sz="0" w:space="0" w:color="auto"/>
        <w:left w:val="none" w:sz="0" w:space="0" w:color="auto"/>
        <w:bottom w:val="none" w:sz="0" w:space="0" w:color="auto"/>
        <w:right w:val="none" w:sz="0" w:space="0" w:color="auto"/>
      </w:divBdr>
      <w:divsChild>
        <w:div w:id="1005859175">
          <w:marLeft w:val="0"/>
          <w:marRight w:val="0"/>
          <w:marTop w:val="240"/>
          <w:marBottom w:val="240"/>
          <w:divBdr>
            <w:top w:val="none" w:sz="0" w:space="0" w:color="auto"/>
            <w:left w:val="none" w:sz="0" w:space="0" w:color="auto"/>
            <w:bottom w:val="none" w:sz="0" w:space="0" w:color="auto"/>
            <w:right w:val="none" w:sz="0" w:space="0" w:color="auto"/>
          </w:divBdr>
        </w:div>
      </w:divsChild>
    </w:div>
    <w:div w:id="1161311128">
      <w:bodyDiv w:val="1"/>
      <w:marLeft w:val="0"/>
      <w:marRight w:val="0"/>
      <w:marTop w:val="0"/>
      <w:marBottom w:val="0"/>
      <w:divBdr>
        <w:top w:val="none" w:sz="0" w:space="0" w:color="auto"/>
        <w:left w:val="none" w:sz="0" w:space="0" w:color="auto"/>
        <w:bottom w:val="none" w:sz="0" w:space="0" w:color="auto"/>
        <w:right w:val="none" w:sz="0" w:space="0" w:color="auto"/>
      </w:divBdr>
      <w:divsChild>
        <w:div w:id="1280646151">
          <w:marLeft w:val="0"/>
          <w:marRight w:val="0"/>
          <w:marTop w:val="0"/>
          <w:marBottom w:val="0"/>
          <w:divBdr>
            <w:top w:val="none" w:sz="0" w:space="0" w:color="auto"/>
            <w:left w:val="none" w:sz="0" w:space="0" w:color="auto"/>
            <w:bottom w:val="none" w:sz="0" w:space="0" w:color="auto"/>
            <w:right w:val="none" w:sz="0" w:space="0" w:color="auto"/>
          </w:divBdr>
        </w:div>
      </w:divsChild>
    </w:div>
    <w:div w:id="1530337658">
      <w:bodyDiv w:val="1"/>
      <w:marLeft w:val="0"/>
      <w:marRight w:val="0"/>
      <w:marTop w:val="0"/>
      <w:marBottom w:val="0"/>
      <w:divBdr>
        <w:top w:val="none" w:sz="0" w:space="0" w:color="auto"/>
        <w:left w:val="none" w:sz="0" w:space="0" w:color="auto"/>
        <w:bottom w:val="none" w:sz="0" w:space="0" w:color="auto"/>
        <w:right w:val="none" w:sz="0" w:space="0" w:color="auto"/>
      </w:divBdr>
      <w:divsChild>
        <w:div w:id="771782323">
          <w:marLeft w:val="0"/>
          <w:marRight w:val="0"/>
          <w:marTop w:val="240"/>
          <w:marBottom w:val="240"/>
          <w:divBdr>
            <w:top w:val="none" w:sz="0" w:space="0" w:color="auto"/>
            <w:left w:val="none" w:sz="0" w:space="0" w:color="auto"/>
            <w:bottom w:val="none" w:sz="0" w:space="0" w:color="auto"/>
            <w:right w:val="none" w:sz="0" w:space="0" w:color="auto"/>
          </w:divBdr>
        </w:div>
      </w:divsChild>
    </w:div>
    <w:div w:id="1575504043">
      <w:bodyDiv w:val="1"/>
      <w:marLeft w:val="0"/>
      <w:marRight w:val="0"/>
      <w:marTop w:val="0"/>
      <w:marBottom w:val="0"/>
      <w:divBdr>
        <w:top w:val="none" w:sz="0" w:space="0" w:color="auto"/>
        <w:left w:val="none" w:sz="0" w:space="0" w:color="auto"/>
        <w:bottom w:val="none" w:sz="0" w:space="0" w:color="auto"/>
        <w:right w:val="none" w:sz="0" w:space="0" w:color="auto"/>
      </w:divBdr>
    </w:div>
    <w:div w:id="1602224664">
      <w:bodyDiv w:val="1"/>
      <w:marLeft w:val="0"/>
      <w:marRight w:val="0"/>
      <w:marTop w:val="0"/>
      <w:marBottom w:val="0"/>
      <w:divBdr>
        <w:top w:val="none" w:sz="0" w:space="0" w:color="auto"/>
        <w:left w:val="none" w:sz="0" w:space="0" w:color="auto"/>
        <w:bottom w:val="none" w:sz="0" w:space="0" w:color="auto"/>
        <w:right w:val="none" w:sz="0" w:space="0" w:color="auto"/>
      </w:divBdr>
    </w:div>
    <w:div w:id="1761178519">
      <w:bodyDiv w:val="1"/>
      <w:marLeft w:val="0"/>
      <w:marRight w:val="0"/>
      <w:marTop w:val="0"/>
      <w:marBottom w:val="0"/>
      <w:divBdr>
        <w:top w:val="none" w:sz="0" w:space="0" w:color="auto"/>
        <w:left w:val="none" w:sz="0" w:space="0" w:color="auto"/>
        <w:bottom w:val="none" w:sz="0" w:space="0" w:color="auto"/>
        <w:right w:val="none" w:sz="0" w:space="0" w:color="auto"/>
      </w:divBdr>
      <w:divsChild>
        <w:div w:id="1229262308">
          <w:marLeft w:val="0"/>
          <w:marRight w:val="0"/>
          <w:marTop w:val="240"/>
          <w:marBottom w:val="240"/>
          <w:divBdr>
            <w:top w:val="none" w:sz="0" w:space="0" w:color="auto"/>
            <w:left w:val="none" w:sz="0" w:space="0" w:color="auto"/>
            <w:bottom w:val="none" w:sz="0" w:space="0" w:color="auto"/>
            <w:right w:val="none" w:sz="0" w:space="0" w:color="auto"/>
          </w:divBdr>
        </w:div>
      </w:divsChild>
    </w:div>
    <w:div w:id="1865366638">
      <w:bodyDiv w:val="1"/>
      <w:marLeft w:val="0"/>
      <w:marRight w:val="0"/>
      <w:marTop w:val="0"/>
      <w:marBottom w:val="0"/>
      <w:divBdr>
        <w:top w:val="none" w:sz="0" w:space="0" w:color="auto"/>
        <w:left w:val="none" w:sz="0" w:space="0" w:color="auto"/>
        <w:bottom w:val="none" w:sz="0" w:space="0" w:color="auto"/>
        <w:right w:val="none" w:sz="0" w:space="0" w:color="auto"/>
      </w:divBdr>
      <w:divsChild>
        <w:div w:id="293146949">
          <w:marLeft w:val="0"/>
          <w:marRight w:val="0"/>
          <w:marTop w:val="0"/>
          <w:marBottom w:val="0"/>
          <w:divBdr>
            <w:top w:val="none" w:sz="0" w:space="0" w:color="auto"/>
            <w:left w:val="none" w:sz="0" w:space="0" w:color="auto"/>
            <w:bottom w:val="none" w:sz="0" w:space="0" w:color="auto"/>
            <w:right w:val="none" w:sz="0" w:space="0" w:color="auto"/>
          </w:divBdr>
        </w:div>
        <w:div w:id="1362627287">
          <w:marLeft w:val="0"/>
          <w:marRight w:val="0"/>
          <w:marTop w:val="0"/>
          <w:marBottom w:val="0"/>
          <w:divBdr>
            <w:top w:val="none" w:sz="0" w:space="0" w:color="auto"/>
            <w:left w:val="none" w:sz="0" w:space="0" w:color="auto"/>
            <w:bottom w:val="none" w:sz="0" w:space="0" w:color="auto"/>
            <w:right w:val="none" w:sz="0" w:space="0" w:color="auto"/>
          </w:divBdr>
        </w:div>
      </w:divsChild>
    </w:div>
    <w:div w:id="21410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nlii.org/en/ab/abca/doc/2008/2008abca257/2008abca257.html" TargetMode="External"/><Relationship Id="rId2" Type="http://schemas.openxmlformats.org/officeDocument/2006/relationships/hyperlink" Target="https://www.canlii.org/en/ca/fca/doc/2019/2019fca230/2019fca230.html" TargetMode="External"/><Relationship Id="rId1" Type="http://schemas.openxmlformats.org/officeDocument/2006/relationships/hyperlink" Target="https://www.canlii.org/en/on/onca/doc/2009/2009onca328/2009onca328.html" TargetMode="External"/><Relationship Id="rId5" Type="http://schemas.openxmlformats.org/officeDocument/2006/relationships/hyperlink" Target="https://www.canlii.org/en/on/onca/doc/1981/1981canlii1893/1981canlii1893.html" TargetMode="External"/><Relationship Id="rId4" Type="http://schemas.openxmlformats.org/officeDocument/2006/relationships/hyperlink" Target="https://www.canlii.org/en/ab/abca/doc/2008/2008abca257/2008abca257.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MS Gothic"/>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46"/>
    <w:rsid w:val="007D63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096F048A9491C806D836DB0EE19AD">
    <w:name w:val="5C2096F048A9491C806D836DB0EE19AD"/>
    <w:rsid w:val="007D6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3751C-5D82-4A72-88C3-AA8FD9CA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3964</Words>
  <Characters>22598</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Fruitman</dc:creator>
  <cp:keywords/>
  <dc:description/>
  <cp:lastModifiedBy>Melissa Calce</cp:lastModifiedBy>
  <cp:revision>2</cp:revision>
  <dcterms:created xsi:type="dcterms:W3CDTF">2021-10-21T19:22:00Z</dcterms:created>
  <dcterms:modified xsi:type="dcterms:W3CDTF">2021-10-21T19:22:00Z</dcterms:modified>
</cp:coreProperties>
</file>